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CE50" w14:textId="689BBC4F" w:rsidR="004E43C6" w:rsidRDefault="004E43C6" w:rsidP="00C150D7">
      <w:pPr>
        <w:pStyle w:val="Nagwek1"/>
      </w:pPr>
      <w:r w:rsidRPr="00C150D7">
        <w:t>SPRAWA</w:t>
      </w:r>
      <w:r w:rsidRPr="00201464">
        <w:rPr>
          <w:color w:val="000080"/>
        </w:rPr>
        <w:t xml:space="preserve"> </w:t>
      </w:r>
      <w:r w:rsidRPr="00201464">
        <w:rPr>
          <w:color w:val="000080"/>
        </w:rPr>
        <w:br/>
      </w:r>
      <w:r w:rsidRPr="00201464">
        <w:t xml:space="preserve">Udostępnianie danych jednostkowych z rejestru </w:t>
      </w:r>
      <w:r w:rsidR="00540ADF">
        <w:t>PESEL</w:t>
      </w:r>
    </w:p>
    <w:p w14:paraId="2A966028" w14:textId="423EF89E" w:rsidR="00C150D7" w:rsidRPr="00C150D7" w:rsidRDefault="00C150D7" w:rsidP="00C150D7">
      <w:pPr>
        <w:rPr>
          <w:lang w:eastAsia="pl-PL"/>
        </w:rPr>
      </w:pPr>
      <w:r>
        <w:rPr>
          <w:lang w:eastAsia="pl-PL"/>
        </w:rPr>
        <w:t>______________________________________________________________________________________________</w:t>
      </w:r>
    </w:p>
    <w:p w14:paraId="5C659280" w14:textId="77777777" w:rsidR="004E43C6" w:rsidRPr="004D0CD2" w:rsidRDefault="004E43C6" w:rsidP="00C150D7">
      <w:pPr>
        <w:pStyle w:val="Nagwek2"/>
      </w:pPr>
      <w:r w:rsidRPr="00201464">
        <w:t>I</w:t>
      </w:r>
      <w:r w:rsidRPr="004D0CD2">
        <w:t>. Podstawa prawna:</w:t>
      </w:r>
    </w:p>
    <w:p w14:paraId="4F7D546C" w14:textId="726B7FD9" w:rsidR="00C150D7" w:rsidRPr="001B1154" w:rsidRDefault="004E43C6" w:rsidP="00CE2C88">
      <w:pPr>
        <w:pStyle w:val="AZakapitzlist"/>
      </w:pPr>
      <w:r w:rsidRPr="001B1154">
        <w:t>ustaw</w:t>
      </w:r>
      <w:r w:rsidR="001B1154" w:rsidRPr="001B1154">
        <w:t>a</w:t>
      </w:r>
      <w:r w:rsidRPr="001B1154">
        <w:t xml:space="preserve"> z </w:t>
      </w:r>
      <w:r w:rsidR="001B1154" w:rsidRPr="001B1154">
        <w:t xml:space="preserve">dnia </w:t>
      </w:r>
      <w:r w:rsidRPr="001B1154">
        <w:t>24 września 2010 r. o ewidencji ludności</w:t>
      </w:r>
      <w:r w:rsidR="00C150D7" w:rsidRPr="001B1154">
        <w:t>,</w:t>
      </w:r>
    </w:p>
    <w:p w14:paraId="2E50DB73" w14:textId="61E4BCB6" w:rsidR="004E43C6" w:rsidRPr="001B1154" w:rsidRDefault="00C150D7" w:rsidP="00CE2C88">
      <w:pPr>
        <w:pStyle w:val="AZakapitzlist"/>
      </w:pPr>
      <w:r w:rsidRPr="001B1154">
        <w:t>r</w:t>
      </w:r>
      <w:r w:rsidR="004E43C6" w:rsidRPr="001B1154">
        <w:t>o</w:t>
      </w:r>
      <w:r w:rsidRPr="001B1154">
        <w:t>zpo</w:t>
      </w:r>
      <w:r w:rsidR="004E43C6" w:rsidRPr="001B1154">
        <w:t xml:space="preserve">rządzenie Ministra Cyfryzacji z dnia </w:t>
      </w:r>
      <w:r w:rsidRPr="001B1154">
        <w:t xml:space="preserve">14 lipca 2022 r. </w:t>
      </w:r>
      <w:r w:rsidR="004E43C6" w:rsidRPr="001B1154">
        <w:t xml:space="preserve">w sprawie określenia wzorów wniosków </w:t>
      </w:r>
      <w:r w:rsidRPr="001B1154">
        <w:br/>
      </w:r>
      <w:r w:rsidR="004E43C6" w:rsidRPr="001B1154">
        <w:t xml:space="preserve">o udostępnienie danych z rejestru mieszkańców i rejestru PESEL oraz trybu uzyskiwania zgody </w:t>
      </w:r>
      <w:r w:rsidRPr="001B1154">
        <w:br/>
      </w:r>
      <w:r w:rsidR="004E43C6" w:rsidRPr="001B1154">
        <w:t>na udostępnienie danyc</w:t>
      </w:r>
      <w:r w:rsidRPr="001B1154">
        <w:t>h,</w:t>
      </w:r>
    </w:p>
    <w:p w14:paraId="6EFF9DDF" w14:textId="06F5CCF8" w:rsidR="004E43C6" w:rsidRPr="001B1154" w:rsidRDefault="004E43C6" w:rsidP="00CE2C88">
      <w:pPr>
        <w:pStyle w:val="AZakapitzlist"/>
      </w:pPr>
      <w:r w:rsidRPr="001B1154">
        <w:t xml:space="preserve">rozporządzenie Rady Ministrów z dnia 22 grudnia 2017 r. w sprawie opłat za udostępnienie danych </w:t>
      </w:r>
      <w:r w:rsidR="00C150D7" w:rsidRPr="001B1154">
        <w:br/>
      </w:r>
      <w:r w:rsidRPr="001B1154">
        <w:t>z rejestru mieszkańców oraz rejestru PESEL</w:t>
      </w:r>
      <w:r w:rsidR="00C150D7" w:rsidRPr="001B1154">
        <w:t>,</w:t>
      </w:r>
    </w:p>
    <w:p w14:paraId="5F585EB5" w14:textId="3742ADA7" w:rsidR="004E43C6" w:rsidRPr="001B1154" w:rsidRDefault="004E43C6" w:rsidP="00CE2C88">
      <w:pPr>
        <w:pStyle w:val="AZakapitzlist"/>
      </w:pPr>
      <w:r w:rsidRPr="001B1154">
        <w:t>ustawa z dnia 14 czerwca 1960 r. Kodeks postępowania administracyjnego</w:t>
      </w:r>
      <w:r w:rsidR="00527EAB" w:rsidRPr="001B1154">
        <w:t>,</w:t>
      </w:r>
    </w:p>
    <w:p w14:paraId="5C3638C4" w14:textId="5FE9377B" w:rsidR="004E43C6" w:rsidRPr="001B1154" w:rsidRDefault="004E43C6" w:rsidP="00CE2C88">
      <w:pPr>
        <w:pStyle w:val="AZakapitzlist"/>
      </w:pPr>
      <w:r w:rsidRPr="001B1154">
        <w:t>ustawa z dnia 16 listopada 2006 r. o opłacie skarbowej</w:t>
      </w:r>
      <w:r w:rsidR="001B1154" w:rsidRPr="001B1154">
        <w:t>,</w:t>
      </w:r>
    </w:p>
    <w:p w14:paraId="272CB070" w14:textId="76F1962A" w:rsidR="004E43C6" w:rsidRPr="001B1154" w:rsidRDefault="004E43C6" w:rsidP="00CE2C88">
      <w:pPr>
        <w:pStyle w:val="AZakapitzlist"/>
      </w:pPr>
      <w:r w:rsidRPr="001B1154">
        <w:rPr>
          <w:rStyle w:val="Wyrnienie"/>
          <w:i w:val="0"/>
          <w:iCs w:val="0"/>
        </w:rPr>
        <w:t>ustawa z dnia 17 lutego 2005 r. o informatyzacji działalności podmiotów realizujących zadania publiczne</w:t>
      </w:r>
      <w:r w:rsidR="001B1154" w:rsidRPr="001B1154">
        <w:rPr>
          <w:rStyle w:val="Wyrnienie"/>
          <w:i w:val="0"/>
          <w:iCs w:val="0"/>
        </w:rPr>
        <w:t>.</w:t>
      </w:r>
    </w:p>
    <w:p w14:paraId="78798E7A" w14:textId="77777777" w:rsidR="004E43C6" w:rsidRPr="004D0CD2" w:rsidRDefault="004E43C6" w:rsidP="00E2059E">
      <w:pPr>
        <w:pStyle w:val="Nagwek2"/>
      </w:pPr>
      <w:r w:rsidRPr="004D0CD2">
        <w:t>II. Wymagane dokumenty</w:t>
      </w:r>
    </w:p>
    <w:p w14:paraId="6C785A64" w14:textId="2BDD92F0" w:rsidR="004E43C6" w:rsidRPr="004D0CD2" w:rsidRDefault="00000000">
      <w:pPr>
        <w:pStyle w:val="AZakapitzlist"/>
        <w:numPr>
          <w:ilvl w:val="0"/>
          <w:numId w:val="3"/>
        </w:numPr>
        <w:rPr>
          <w:i/>
        </w:rPr>
      </w:pPr>
      <w:hyperlink r:id="rId8" w:history="1">
        <w:r w:rsidR="00490CFE">
          <w:rPr>
            <w:rStyle w:val="Hipercze"/>
          </w:rPr>
          <w:t>wniosek o udostępnienie danych jednostkowych z rejestru PES</w:t>
        </w:r>
        <w:r w:rsidR="00490CFE">
          <w:rPr>
            <w:rStyle w:val="Hipercze"/>
          </w:rPr>
          <w:t>E</w:t>
        </w:r>
        <w:r w:rsidR="00490CFE">
          <w:rPr>
            <w:rStyle w:val="Hipercze"/>
          </w:rPr>
          <w:t>L</w:t>
        </w:r>
      </w:hyperlink>
      <w:r w:rsidR="004E43C6" w:rsidRPr="004D0CD2">
        <w:t xml:space="preserve">, </w:t>
      </w:r>
    </w:p>
    <w:p w14:paraId="457696CF" w14:textId="56AAAF6E" w:rsidR="004E43C6" w:rsidRPr="002176EF" w:rsidRDefault="004E43C6">
      <w:pPr>
        <w:pStyle w:val="AZakapitzlist"/>
        <w:numPr>
          <w:ilvl w:val="0"/>
          <w:numId w:val="3"/>
        </w:numPr>
        <w:rPr>
          <w:i/>
        </w:rPr>
      </w:pPr>
      <w:r w:rsidRPr="002176EF">
        <w:t>dokumenty potwierdzające interes prawny w uzyskaniu danych</w:t>
      </w:r>
      <w:r w:rsidR="001B6B8B">
        <w:t>,</w:t>
      </w:r>
    </w:p>
    <w:p w14:paraId="71844EE0" w14:textId="6D18E114" w:rsidR="004E43C6" w:rsidRPr="002176EF" w:rsidRDefault="004E43C6">
      <w:pPr>
        <w:pStyle w:val="AZakapitzlist"/>
        <w:numPr>
          <w:ilvl w:val="0"/>
          <w:numId w:val="3"/>
        </w:numPr>
        <w:rPr>
          <w:i/>
        </w:rPr>
      </w:pPr>
      <w:r w:rsidRPr="002176EF">
        <w:t>dowód uiszczenia opłaty za udostępnienie danych (nie dotyczy podmiotów zwolnionych z opłaty)</w:t>
      </w:r>
      <w:r w:rsidR="001B6B8B">
        <w:t>,</w:t>
      </w:r>
    </w:p>
    <w:p w14:paraId="2F81B02D" w14:textId="36861DFF" w:rsidR="00E2059E" w:rsidRPr="002176EF" w:rsidRDefault="00E2059E">
      <w:pPr>
        <w:pStyle w:val="AZakapitzlist"/>
        <w:numPr>
          <w:ilvl w:val="0"/>
          <w:numId w:val="3"/>
        </w:numPr>
        <w:rPr>
          <w:i/>
        </w:rPr>
      </w:pPr>
      <w:r w:rsidRPr="002176EF">
        <w:t>w przypadku, gdy strona działa przez pełnomocnika:</w:t>
      </w:r>
    </w:p>
    <w:p w14:paraId="1D5067F8" w14:textId="482CC3AC" w:rsidR="00E2059E" w:rsidRPr="002176EF" w:rsidRDefault="00E2059E" w:rsidP="00CE2C88">
      <w:pPr>
        <w:pStyle w:val="AZakapitzlist"/>
        <w:numPr>
          <w:ilvl w:val="0"/>
          <w:numId w:val="8"/>
        </w:numPr>
      </w:pPr>
      <w:r w:rsidRPr="00F24AA7">
        <w:rPr>
          <w:rStyle w:val="Hipercze"/>
          <w:b w:val="0"/>
          <w:bCs/>
          <w:color w:val="000000" w:themeColor="text1"/>
          <w:u w:val="none"/>
        </w:rPr>
        <w:t xml:space="preserve">dokument potwierdzający </w:t>
      </w:r>
      <w:r w:rsidR="0027105A" w:rsidRPr="00F24AA7">
        <w:rPr>
          <w:rStyle w:val="Hipercze"/>
          <w:b w:val="0"/>
          <w:bCs/>
          <w:color w:val="000000" w:themeColor="text1"/>
          <w:u w:val="none"/>
        </w:rPr>
        <w:t xml:space="preserve">udzielenie </w:t>
      </w:r>
      <w:r w:rsidRPr="00F24AA7">
        <w:rPr>
          <w:rStyle w:val="Hipercze"/>
          <w:b w:val="0"/>
          <w:bCs/>
          <w:color w:val="000000" w:themeColor="text1"/>
          <w:u w:val="none"/>
        </w:rPr>
        <w:t>pełnomocnictw</w:t>
      </w:r>
      <w:r w:rsidRPr="003C2D3B">
        <w:rPr>
          <w:rStyle w:val="Hipercze"/>
          <w:b w:val="0"/>
          <w:bCs/>
          <w:color w:val="000000" w:themeColor="text1"/>
          <w:u w:val="none"/>
        </w:rPr>
        <w:t>a</w:t>
      </w:r>
      <w:r w:rsidR="003C2D3B" w:rsidRPr="003C2D3B">
        <w:rPr>
          <w:rStyle w:val="Hipercze"/>
          <w:b w:val="0"/>
          <w:bCs/>
          <w:color w:val="000000" w:themeColor="text1"/>
          <w:u w:val="none"/>
        </w:rPr>
        <w:t>,</w:t>
      </w:r>
    </w:p>
    <w:p w14:paraId="2E5C866B" w14:textId="653E485B" w:rsidR="004E43C6" w:rsidRPr="002176EF" w:rsidRDefault="004E43C6" w:rsidP="00CE2C88">
      <w:pPr>
        <w:pStyle w:val="AZakapitzlist"/>
        <w:numPr>
          <w:ilvl w:val="0"/>
          <w:numId w:val="8"/>
        </w:numPr>
      </w:pPr>
      <w:r w:rsidRPr="002176EF">
        <w:t>dowód opłaty skarbowej za złożenie dokumentu pełnomocnictwa</w:t>
      </w:r>
      <w:r w:rsidR="00E2059E" w:rsidRPr="002176EF">
        <w:t>.</w:t>
      </w:r>
    </w:p>
    <w:p w14:paraId="2E9D92E2" w14:textId="77777777" w:rsidR="004E43C6" w:rsidRPr="002176EF" w:rsidRDefault="004E43C6" w:rsidP="00E2059E">
      <w:pPr>
        <w:pStyle w:val="Nagwek2"/>
      </w:pPr>
      <w:r w:rsidRPr="002176EF">
        <w:t>III. Opłaty:</w:t>
      </w:r>
    </w:p>
    <w:p w14:paraId="6E18C409" w14:textId="0E492AE4" w:rsidR="004E43C6" w:rsidRPr="002176EF" w:rsidRDefault="00E2059E">
      <w:pPr>
        <w:pStyle w:val="Azakapitznumerami"/>
      </w:pPr>
      <w:r w:rsidRPr="003C2D3B">
        <w:rPr>
          <w:b/>
          <w:bCs/>
        </w:rPr>
        <w:t>o</w:t>
      </w:r>
      <w:r w:rsidR="004E43C6" w:rsidRPr="003C2D3B">
        <w:rPr>
          <w:b/>
          <w:bCs/>
        </w:rPr>
        <w:t>płata za udostępnienie informacji jednostkowej wynosi 31 zł</w:t>
      </w:r>
      <w:r w:rsidR="003C2D3B">
        <w:rPr>
          <w:b/>
          <w:bCs/>
        </w:rPr>
        <w:t xml:space="preserve"> i nie jest to opłata skarbowa</w:t>
      </w:r>
      <w:r w:rsidR="002176EF">
        <w:t>,</w:t>
      </w:r>
    </w:p>
    <w:p w14:paraId="5D56FD90" w14:textId="1CF75630" w:rsidR="004E43C6" w:rsidRPr="002176EF" w:rsidRDefault="002176EF">
      <w:pPr>
        <w:pStyle w:val="Azakapitznumerami"/>
        <w:spacing w:after="0"/>
        <w:ind w:left="357" w:hanging="357"/>
        <w:rPr>
          <w:rFonts w:cs="Calibri"/>
        </w:rPr>
      </w:pPr>
      <w:r w:rsidRPr="003C58F1">
        <w:rPr>
          <w:rFonts w:cs="Calibri"/>
          <w:b/>
          <w:bCs/>
        </w:rPr>
        <w:t>d</w:t>
      </w:r>
      <w:r w:rsidR="004E43C6" w:rsidRPr="003C58F1">
        <w:rPr>
          <w:rFonts w:cs="Calibri"/>
          <w:b/>
          <w:bCs/>
        </w:rPr>
        <w:t>ane jednostkowe są udostępniane nieodpłatnie</w:t>
      </w:r>
      <w:r w:rsidR="004E43C6" w:rsidRPr="002176EF">
        <w:rPr>
          <w:rFonts w:cs="Calibri"/>
        </w:rPr>
        <w:t>:</w:t>
      </w:r>
    </w:p>
    <w:p w14:paraId="6D4A6EE7" w14:textId="20CA3EDA" w:rsidR="004E43C6" w:rsidRPr="00CE2C88" w:rsidRDefault="004E43C6" w:rsidP="00CE2C88">
      <w:pPr>
        <w:pStyle w:val="AZakapitzlist"/>
        <w:numPr>
          <w:ilvl w:val="0"/>
          <w:numId w:val="9"/>
        </w:numPr>
        <w:rPr>
          <w:i/>
        </w:rPr>
      </w:pPr>
      <w:r w:rsidRPr="002176EF">
        <w:t xml:space="preserve">organom administracji publicznej, sądom i prokuraturze, Policji, Straży Granicznej, Straży Marszałkowskiej, Służbie Więziennej, Służbie Kontrwywiadu Wojskowego, Służbie Wywiadu Wojskowego, </w:t>
      </w:r>
      <w:r w:rsidR="003C2D3B">
        <w:t xml:space="preserve">Krajowej Administracji Skarbowej, </w:t>
      </w:r>
      <w:r w:rsidRPr="002176EF">
        <w:t>Żandarmerii Wojskowej, Agencji Bezpieczeństwa Wewnętrznego,</w:t>
      </w:r>
      <w:r w:rsidR="003C2D3B">
        <w:t xml:space="preserve"> Agencji Wywiadu, </w:t>
      </w:r>
      <w:r w:rsidRPr="002176EF">
        <w:t>Służbie Ochrony Państwa, Centralnemu Biuru Antykorupcyjnemu, Szefowi Krajowego Centrum Informacji Kryminalnych,</w:t>
      </w:r>
      <w:r w:rsidR="003C2D3B">
        <w:t xml:space="preserve"> Inspektorowi Nadzoru Wewnętrznego, </w:t>
      </w:r>
      <w:r w:rsidRPr="002176EF">
        <w:t xml:space="preserve">organom wyborczym i strażom gminnym (miejskim) - w zakresie niezbędnym do realizacji ich zadań ustawowych, </w:t>
      </w:r>
    </w:p>
    <w:p w14:paraId="5B8D7BD8" w14:textId="1D2E1801" w:rsidR="004E43C6" w:rsidRPr="002176EF" w:rsidRDefault="004E43C6">
      <w:pPr>
        <w:pStyle w:val="AZakapitzlist"/>
        <w:rPr>
          <w:i/>
        </w:rPr>
      </w:pPr>
      <w:r w:rsidRPr="002176EF">
        <w:t xml:space="preserve">komornikom sądowym </w:t>
      </w:r>
      <w:r w:rsidR="003C2D3B">
        <w:t>–</w:t>
      </w:r>
      <w:r w:rsidRPr="002176EF">
        <w:t xml:space="preserve"> </w:t>
      </w:r>
      <w:r w:rsidR="003C2D3B">
        <w:t xml:space="preserve">wyłącznie </w:t>
      </w:r>
      <w:r w:rsidRPr="002176EF">
        <w:t xml:space="preserve">w zakresie niezbędnym do prowadzenia przez nich postępowania egzekucyjnego lub zabezpieczającego albo wykonywania postanowienia o zabezpieczeniu spadku </w:t>
      </w:r>
      <w:r w:rsidR="003C58F1">
        <w:br/>
      </w:r>
      <w:r w:rsidRPr="002176EF">
        <w:t xml:space="preserve">lub sporządzania spisu inwentarza, </w:t>
      </w:r>
    </w:p>
    <w:p w14:paraId="4B5E9782" w14:textId="62FB2968" w:rsidR="004E43C6" w:rsidRPr="003C2D3B" w:rsidRDefault="004E43C6">
      <w:pPr>
        <w:pStyle w:val="AZakapitzlist"/>
        <w:rPr>
          <w:i/>
        </w:rPr>
      </w:pPr>
      <w:r w:rsidRPr="002176EF">
        <w:t xml:space="preserve">państwowym i samorządowym jednostkom organizacyjnym oraz innym podmiotom – w zakresie niezbędnym do realizacji zadań publicznych określonych w odrębnych przepisach, </w:t>
      </w:r>
    </w:p>
    <w:p w14:paraId="06E74067" w14:textId="77777777" w:rsidR="004E43C6" w:rsidRPr="002176EF" w:rsidRDefault="004E43C6">
      <w:pPr>
        <w:pStyle w:val="AZakapitzlist"/>
        <w:rPr>
          <w:i/>
        </w:rPr>
      </w:pPr>
      <w:r w:rsidRPr="002176EF">
        <w:t>Polskiemu Czerwonemu Krzyżowi - w zakresie danych osób poszukiwanych,</w:t>
      </w:r>
    </w:p>
    <w:p w14:paraId="709E71A7" w14:textId="5B547C96" w:rsidR="004E43C6" w:rsidRPr="002176EF" w:rsidRDefault="004E43C6">
      <w:pPr>
        <w:pStyle w:val="AZakapitzlist"/>
        <w:spacing w:after="0"/>
        <w:rPr>
          <w:i/>
        </w:rPr>
      </w:pPr>
      <w:r w:rsidRPr="002176EF">
        <w:t>osobom i jednostkom organizacyjnym – w przypadku udostępniania im danych niezbędnych do sporządzenia aktu poświadczenia dziedziczenia, jeśli wykażą w tym interes prawny.</w:t>
      </w:r>
    </w:p>
    <w:p w14:paraId="097B0364" w14:textId="7B7939C1" w:rsidR="004E43C6" w:rsidRPr="00CE2C88" w:rsidRDefault="00CB1CAB" w:rsidP="00CE2C88">
      <w:pPr>
        <w:pStyle w:val="Azakapitznumerami"/>
        <w:numPr>
          <w:ilvl w:val="0"/>
          <w:numId w:val="10"/>
        </w:numPr>
        <w:rPr>
          <w:b/>
          <w:bCs/>
        </w:rPr>
      </w:pPr>
      <w:r w:rsidRPr="00CE2C88">
        <w:rPr>
          <w:rFonts w:cs="Calibri"/>
          <w:b/>
          <w:bCs/>
        </w:rPr>
        <w:t>o</w:t>
      </w:r>
      <w:r w:rsidR="004E43C6" w:rsidRPr="00CE2C88">
        <w:rPr>
          <w:rFonts w:cs="Calibri"/>
          <w:b/>
          <w:bCs/>
        </w:rPr>
        <w:t>pła</w:t>
      </w:r>
      <w:r w:rsidRPr="00CE2C88">
        <w:rPr>
          <w:rFonts w:cs="Calibri"/>
          <w:b/>
          <w:bCs/>
        </w:rPr>
        <w:t xml:space="preserve">ta skarbowa za złożenie dokumentu stwierdzającego udzielenie pełnomocnictwa </w:t>
      </w:r>
      <w:r w:rsidR="002176EF" w:rsidRPr="00CE2C88">
        <w:rPr>
          <w:rFonts w:cs="Calibri"/>
          <w:b/>
          <w:bCs/>
        </w:rPr>
        <w:t xml:space="preserve">wynosi </w:t>
      </w:r>
      <w:r w:rsidR="004E43C6" w:rsidRPr="00CE2C88">
        <w:rPr>
          <w:rFonts w:cs="Calibri"/>
          <w:b/>
          <w:bCs/>
        </w:rPr>
        <w:t>17 zł</w:t>
      </w:r>
      <w:r w:rsidR="002176EF" w:rsidRPr="00CE2C88">
        <w:rPr>
          <w:rFonts w:cs="Calibri"/>
          <w:b/>
          <w:bCs/>
        </w:rPr>
        <w:t>,</w:t>
      </w:r>
    </w:p>
    <w:p w14:paraId="7501B081" w14:textId="77777777" w:rsidR="003C2D3B" w:rsidRDefault="003C2D3B">
      <w:pPr>
        <w:pStyle w:val="Azakapitznumerami"/>
      </w:pPr>
      <w:r>
        <w:t>n</w:t>
      </w:r>
      <w:r w:rsidRPr="00643305">
        <w:t>ie pobiera się opłaty skarbowej za złożenie dokumentu stwierdzającego udzielenie pełnomocnictwa</w:t>
      </w:r>
      <w:r>
        <w:t>:</w:t>
      </w:r>
    </w:p>
    <w:p w14:paraId="5CDD47E9" w14:textId="77777777" w:rsidR="003C2D3B" w:rsidRDefault="003C2D3B" w:rsidP="00CE2C88">
      <w:pPr>
        <w:pStyle w:val="Azakapitznumerami"/>
        <w:numPr>
          <w:ilvl w:val="0"/>
          <w:numId w:val="11"/>
        </w:numPr>
      </w:pPr>
      <w:r w:rsidRPr="00643305">
        <w:t>jeśli pełnomocnictwo udzielone jest małżonkowi, wstępnemu, zstępnemu i rodzeństwu</w:t>
      </w:r>
      <w:r>
        <w:t>,</w:t>
      </w:r>
    </w:p>
    <w:p w14:paraId="301CAA02" w14:textId="77777777" w:rsidR="003C2D3B" w:rsidRPr="009C1E80" w:rsidRDefault="003C2D3B" w:rsidP="00CE2C88">
      <w:pPr>
        <w:pStyle w:val="Azakapitznumerami"/>
        <w:numPr>
          <w:ilvl w:val="0"/>
          <w:numId w:val="11"/>
        </w:numPr>
        <w:rPr>
          <w:rFonts w:eastAsia="Times New Roman"/>
        </w:rPr>
      </w:pPr>
      <w:r w:rsidRPr="00285DA5">
        <w:rPr>
          <w:rFonts w:eastAsia="Times New Roman"/>
        </w:rPr>
        <w:t>poświadczone</w:t>
      </w:r>
      <w:r>
        <w:rPr>
          <w:rFonts w:eastAsia="Times New Roman"/>
        </w:rPr>
        <w:t>go</w:t>
      </w:r>
      <w:r w:rsidRPr="00285DA5">
        <w:rPr>
          <w:rFonts w:eastAsia="Times New Roman"/>
        </w:rPr>
        <w:t xml:space="preserve"> notarialnie lub przez uprawniony organ, upoważniające do odbioru </w:t>
      </w:r>
      <w:r w:rsidRPr="00285DA5">
        <w:rPr>
          <w:rFonts w:eastAsia="Times New Roman"/>
        </w:rPr>
        <w:br/>
        <w:t>dokumentów,</w:t>
      </w:r>
    </w:p>
    <w:p w14:paraId="56B2EBF0" w14:textId="77777777" w:rsidR="003C2D3B" w:rsidRPr="00946FC8" w:rsidRDefault="003C2D3B">
      <w:pPr>
        <w:pStyle w:val="Azakapitznumerami"/>
        <w:ind w:hanging="357"/>
      </w:pPr>
      <w:r>
        <w:lastRenderedPageBreak/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</w:t>
      </w:r>
      <w:r>
        <w:br/>
        <w:t xml:space="preserve">lub </w:t>
      </w:r>
      <w:r w:rsidRPr="00946FC8">
        <w:t>uiścić</w:t>
      </w:r>
      <w:r>
        <w:t xml:space="preserve"> </w:t>
      </w:r>
      <w:r w:rsidRPr="00946FC8">
        <w:t>w kasie Urzędu Gminy Polkowice</w:t>
      </w:r>
      <w:r>
        <w:t>:</w:t>
      </w:r>
    </w:p>
    <w:p w14:paraId="29122E88" w14:textId="77777777" w:rsidR="003C2D3B" w:rsidRPr="00946FC8" w:rsidRDefault="003C2D3B" w:rsidP="00CE2C88">
      <w:pPr>
        <w:pStyle w:val="Azakapitznumerami"/>
        <w:numPr>
          <w:ilvl w:val="0"/>
          <w:numId w:val="12"/>
        </w:numPr>
      </w:pPr>
      <w:r w:rsidRPr="00946FC8">
        <w:t>poniedziałek, środa, czwartek od godziny 7:45 do godziny 15:00,</w:t>
      </w:r>
    </w:p>
    <w:p w14:paraId="398FD0CD" w14:textId="621B0D94" w:rsidR="003C2D3B" w:rsidRDefault="003C2D3B" w:rsidP="00CE2C88">
      <w:pPr>
        <w:pStyle w:val="Azakapitznumerami"/>
        <w:numPr>
          <w:ilvl w:val="0"/>
          <w:numId w:val="12"/>
        </w:numPr>
      </w:pPr>
      <w:r w:rsidRPr="00946FC8">
        <w:t>wtorek od godziny 7:45 do godziny 16:30,</w:t>
      </w:r>
    </w:p>
    <w:p w14:paraId="0377E14C" w14:textId="5D4A278E" w:rsidR="002176EF" w:rsidRPr="00946FC8" w:rsidRDefault="003C2D3B" w:rsidP="00CE2C88">
      <w:pPr>
        <w:pStyle w:val="Azakapitznumerami"/>
        <w:numPr>
          <w:ilvl w:val="0"/>
          <w:numId w:val="12"/>
        </w:numPr>
      </w:pPr>
      <w:r w:rsidRPr="00946FC8">
        <w:t>piątek od godziny 7:45 do godziny 13:30</w:t>
      </w:r>
      <w:r w:rsidR="002176EF" w:rsidRPr="00946FC8">
        <w:t>.</w:t>
      </w:r>
    </w:p>
    <w:p w14:paraId="43B70DD5" w14:textId="77777777" w:rsidR="004E43C6" w:rsidRPr="004D0CD2" w:rsidRDefault="004E43C6" w:rsidP="00A61DAB">
      <w:pPr>
        <w:pStyle w:val="Nagwek2"/>
      </w:pPr>
      <w:r w:rsidRPr="004D0CD2">
        <w:t>IV. Termin załatwienia sprawy:</w:t>
      </w:r>
    </w:p>
    <w:p w14:paraId="609A8C9A" w14:textId="2E379018" w:rsidR="004E43C6" w:rsidRPr="004D0CD2" w:rsidRDefault="004E43C6" w:rsidP="00A61DAB">
      <w:pPr>
        <w:pStyle w:val="Azakapitbezlisty"/>
        <w:rPr>
          <w:b/>
          <w:bCs/>
        </w:rPr>
      </w:pPr>
      <w:r w:rsidRPr="004D0CD2">
        <w:t>nie później niż w</w:t>
      </w:r>
      <w:r w:rsidR="00A61DAB">
        <w:t xml:space="preserve"> ciągu </w:t>
      </w:r>
      <w:r w:rsidRPr="004D0CD2">
        <w:t>miesiąca od dnia złożenia wniosku</w:t>
      </w:r>
      <w:r w:rsidR="00A61DAB">
        <w:t>, a w sprawach szczególnie skomplikowanych – w ciągu dwóch miesięcy.</w:t>
      </w:r>
    </w:p>
    <w:p w14:paraId="2410E330" w14:textId="77777777" w:rsidR="004E43C6" w:rsidRPr="004D0CD2" w:rsidRDefault="004E43C6" w:rsidP="00FC66B6">
      <w:pPr>
        <w:pStyle w:val="Nagwek2"/>
      </w:pPr>
      <w:r w:rsidRPr="004D0CD2">
        <w:t>V. Jednostka odpowiedzialna:</w:t>
      </w:r>
    </w:p>
    <w:p w14:paraId="0D3199A1" w14:textId="4605F05E" w:rsidR="004E43C6" w:rsidRPr="004D0CD2" w:rsidRDefault="004E43C6" w:rsidP="00FC66B6">
      <w:pPr>
        <w:pStyle w:val="Azakapitbezlisty"/>
        <w:rPr>
          <w:i/>
        </w:rPr>
      </w:pPr>
      <w:r w:rsidRPr="004D0CD2">
        <w:t>Wydział Spraw Obywatelskich</w:t>
      </w:r>
      <w:r w:rsidR="00FC66B6">
        <w:rPr>
          <w:i/>
        </w:rPr>
        <w:t xml:space="preserve">, </w:t>
      </w:r>
      <w:r w:rsidRPr="004D0CD2">
        <w:t>ul. Rynek 1, pokój nr 12</w:t>
      </w:r>
      <w:r w:rsidR="00FC66B6">
        <w:t xml:space="preserve">, </w:t>
      </w:r>
      <w:r w:rsidRPr="004D0CD2">
        <w:t>tel. 76 84 74</w:t>
      </w:r>
      <w:r w:rsidR="00FC66B6">
        <w:t> </w:t>
      </w:r>
      <w:r w:rsidRPr="004D0CD2">
        <w:t>130</w:t>
      </w:r>
      <w:r w:rsidR="00FC66B6">
        <w:t>.</w:t>
      </w:r>
    </w:p>
    <w:p w14:paraId="42DF6944" w14:textId="77777777" w:rsidR="004E43C6" w:rsidRPr="004D0CD2" w:rsidRDefault="004E43C6" w:rsidP="00FC66B6">
      <w:pPr>
        <w:pStyle w:val="Nagwek2"/>
      </w:pPr>
      <w:r w:rsidRPr="004D0CD2">
        <w:t>VI. Tryb odwoławczy:</w:t>
      </w:r>
    </w:p>
    <w:p w14:paraId="612EDBEA" w14:textId="03F22279" w:rsidR="00D950D6" w:rsidRPr="00CF1C5E" w:rsidRDefault="006D1002" w:rsidP="00D950D6">
      <w:pPr>
        <w:spacing w:after="120"/>
        <w:rPr>
          <w:rFonts w:cs="Calibri"/>
          <w:sz w:val="24"/>
          <w:szCs w:val="24"/>
          <w:lang w:eastAsia="pl-PL"/>
        </w:rPr>
      </w:pPr>
      <w:r>
        <w:t>od</w:t>
      </w:r>
      <w:r w:rsidR="004E43C6" w:rsidRPr="004D0CD2">
        <w:t xml:space="preserve"> decyz</w:t>
      </w:r>
      <w:r w:rsidR="00CB1CAB">
        <w:t>j</w:t>
      </w:r>
      <w:r>
        <w:t xml:space="preserve">i </w:t>
      </w:r>
      <w:r w:rsidR="004E43C6" w:rsidRPr="004D0CD2">
        <w:t>o odmowie udostępnienia danych</w:t>
      </w:r>
      <w:r w:rsidR="00482715">
        <w:t xml:space="preserve"> jednostkowych </w:t>
      </w:r>
      <w:r w:rsidR="00D950D6">
        <w:rPr>
          <w:rFonts w:cs="Calibri"/>
          <w:sz w:val="24"/>
          <w:szCs w:val="24"/>
          <w:lang w:eastAsia="pl-PL"/>
        </w:rPr>
        <w:t xml:space="preserve">stronie </w:t>
      </w:r>
      <w:r w:rsidR="00D950D6" w:rsidRPr="00706A96">
        <w:rPr>
          <w:rFonts w:cs="Calibri"/>
          <w:sz w:val="24"/>
          <w:szCs w:val="24"/>
          <w:lang w:eastAsia="pl-PL"/>
        </w:rPr>
        <w:t>przysługuje</w:t>
      </w:r>
      <w:r w:rsidR="00D950D6">
        <w:rPr>
          <w:rFonts w:cs="Calibri"/>
          <w:sz w:val="24"/>
          <w:szCs w:val="24"/>
          <w:lang w:eastAsia="pl-PL"/>
        </w:rPr>
        <w:t xml:space="preserve"> </w:t>
      </w:r>
      <w:r w:rsidR="00D950D6" w:rsidRPr="00706A96">
        <w:rPr>
          <w:rFonts w:cs="Calibri"/>
          <w:sz w:val="24"/>
          <w:szCs w:val="24"/>
          <w:lang w:eastAsia="pl-PL"/>
        </w:rPr>
        <w:t>prawo wniesienia odwołania do Wojewody Dolnośląskiego we Wrocławiu</w:t>
      </w:r>
      <w:r w:rsidR="00D950D6">
        <w:rPr>
          <w:rFonts w:cs="Calibri"/>
          <w:sz w:val="24"/>
          <w:szCs w:val="24"/>
          <w:lang w:eastAsia="pl-PL"/>
        </w:rPr>
        <w:t xml:space="preserve">, za pośrednictwem Burmistrza Polkowic, </w:t>
      </w:r>
      <w:r w:rsidR="00D950D6" w:rsidRPr="00706A96">
        <w:rPr>
          <w:rFonts w:cs="Calibri"/>
          <w:sz w:val="24"/>
          <w:szCs w:val="24"/>
          <w:lang w:eastAsia="pl-PL"/>
        </w:rPr>
        <w:t xml:space="preserve">w terminie 14 dni </w:t>
      </w:r>
      <w:r w:rsidR="00D950D6">
        <w:rPr>
          <w:rFonts w:cs="Calibri"/>
          <w:sz w:val="24"/>
          <w:szCs w:val="24"/>
          <w:lang w:eastAsia="pl-PL"/>
        </w:rPr>
        <w:t xml:space="preserve">od dnia doręczenia decyzji stronie. </w:t>
      </w:r>
    </w:p>
    <w:p w14:paraId="5351813C" w14:textId="5DB79379" w:rsidR="004E43C6" w:rsidRPr="004D0CD2" w:rsidRDefault="004E43C6" w:rsidP="00D950D6">
      <w:pPr>
        <w:pStyle w:val="Nagwek2"/>
      </w:pPr>
      <w:r w:rsidRPr="004D0CD2">
        <w:t>VI. Inne informacje:</w:t>
      </w:r>
    </w:p>
    <w:p w14:paraId="07C0914D" w14:textId="52F9DBDD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dane z rejestru PESEL udostępnia organ dowolnej gminy na terenie kraju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0192F923" w14:textId="56748879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przez dane jednostkowe rozumie się dane jednej osoby lub imiona i nazwiska wszystkich osób zameldowanych pod jednym adresem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7E6C7619" w14:textId="4FA465F8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potrzeba uzyskania danych może wynikać z interesu faktycznego lub interesu prawnego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21FB9ABD" w14:textId="70E8B707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w przypadku powoływania się na interes prawny należy wskazać podstawę prawną, z której wywodzi się uprawnienie do żądania udostępnienia danych innej osoby oraz dołączyć dokumenty potwierdzające ten interes, przykładowo: wezwanie sądu, prokuratury, komornika i innych organów państwowych zobowiązujące do przedstawienia określonych danych; wykazanie przysługujących wierzytelności (np. umowy, faktury wraz z wezwaniem do zapłaty i potwierdzeniem bezskuteczności doręczenia)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4C6C1B34" w14:textId="59887273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 xml:space="preserve">w przypadku braku dowodów na posiadanie interesu prawnego informacja może być udzielona </w:t>
      </w:r>
      <w:r w:rsidR="002176EF">
        <w:rPr>
          <w:rStyle w:val="Wyrnienie"/>
          <w:rFonts w:cs="Calibri"/>
          <w:i w:val="0"/>
          <w:iCs w:val="0"/>
          <w:color w:val="000000"/>
        </w:rPr>
        <w:br/>
      </w:r>
      <w:r w:rsidRPr="002176EF">
        <w:rPr>
          <w:rStyle w:val="Wyrnienie"/>
          <w:rFonts w:cs="Calibri"/>
          <w:i w:val="0"/>
          <w:iCs w:val="0"/>
          <w:color w:val="000000"/>
        </w:rPr>
        <w:t>w oparciu o interes faktyczny, za zgodą osoby której wniosek dotyczy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6A5C6BDC" w14:textId="05A63D9B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 xml:space="preserve">dane udostępnione na podstawie wniosku nie mogą być wykorzystane w innym celu niż wskazany </w:t>
      </w:r>
      <w:r w:rsidR="002176EF">
        <w:rPr>
          <w:rStyle w:val="Wyrnienie"/>
          <w:rFonts w:cs="Calibri"/>
          <w:i w:val="0"/>
          <w:iCs w:val="0"/>
          <w:color w:val="000000"/>
        </w:rPr>
        <w:br/>
      </w:r>
      <w:r w:rsidRPr="002176EF">
        <w:rPr>
          <w:rStyle w:val="Wyrnienie"/>
          <w:rFonts w:cs="Calibri"/>
          <w:i w:val="0"/>
          <w:iCs w:val="0"/>
          <w:color w:val="000000"/>
        </w:rPr>
        <w:t>w tym wniosku</w:t>
      </w:r>
      <w:r w:rsid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76A2CC2E" w14:textId="41C8BC27" w:rsidR="004E43C6" w:rsidRPr="002176EF" w:rsidRDefault="001B6B8B">
      <w:pPr>
        <w:pStyle w:val="AZakapitzlist"/>
        <w:numPr>
          <w:ilvl w:val="0"/>
          <w:numId w:val="7"/>
        </w:numPr>
      </w:pPr>
      <w:r>
        <w:rPr>
          <w:rStyle w:val="Wyrnienie"/>
          <w:rFonts w:cs="Calibri"/>
          <w:i w:val="0"/>
          <w:iCs w:val="0"/>
          <w:color w:val="000000"/>
        </w:rPr>
        <w:t>w</w:t>
      </w:r>
      <w:r w:rsidR="004E43C6" w:rsidRPr="002176EF">
        <w:rPr>
          <w:rStyle w:val="Wyrnienie"/>
          <w:rFonts w:cs="Calibri"/>
          <w:i w:val="0"/>
          <w:iCs w:val="0"/>
          <w:color w:val="000000"/>
        </w:rPr>
        <w:t xml:space="preserve"> tej samej sprawie wniosek o udostępnienie danych z rejestru PESEL może zostać złożony wyłącznie do jednego organu </w:t>
      </w:r>
      <w:r w:rsidR="002176EF" w:rsidRPr="002176EF">
        <w:rPr>
          <w:rStyle w:val="Wyrnienie"/>
          <w:rFonts w:cs="Calibri"/>
          <w:i w:val="0"/>
          <w:iCs w:val="0"/>
          <w:color w:val="000000"/>
        </w:rPr>
        <w:t xml:space="preserve">dowolnej </w:t>
      </w:r>
      <w:r w:rsidR="004E43C6" w:rsidRPr="002176EF">
        <w:rPr>
          <w:rStyle w:val="Wyrnienie"/>
          <w:rFonts w:cs="Calibri"/>
          <w:i w:val="0"/>
          <w:iCs w:val="0"/>
          <w:color w:val="000000"/>
        </w:rPr>
        <w:t>gminy</w:t>
      </w:r>
      <w:r w:rsidR="002176EF" w:rsidRPr="002176EF">
        <w:rPr>
          <w:rStyle w:val="Wyrnienie"/>
          <w:rFonts w:cs="Calibri"/>
          <w:i w:val="0"/>
          <w:iCs w:val="0"/>
          <w:color w:val="000000"/>
        </w:rPr>
        <w:t>,</w:t>
      </w:r>
    </w:p>
    <w:p w14:paraId="5E800B2D" w14:textId="13EAB657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od 1 maja 2019 r. podmioty publiczne, które nie posiadają decyzji teletransmisyjnej, będącej podstawą dostępu do rejestru PESEL za pomocą urządzeń teletransmisji danych, w danym roku kalendarzowym mogą uzyskiwać maksymalnie 300 danych jednostkowych z rejestru PESEL</w:t>
      </w:r>
      <w:r w:rsidR="00490CFE">
        <w:rPr>
          <w:rStyle w:val="Wyrnienie"/>
          <w:rFonts w:cs="Calibri"/>
          <w:i w:val="0"/>
          <w:iCs w:val="0"/>
          <w:color w:val="000000"/>
        </w:rPr>
        <w:t>,</w:t>
      </w:r>
    </w:p>
    <w:p w14:paraId="4F7C021C" w14:textId="72DFC47B" w:rsidR="001B6B8B" w:rsidRPr="001B6B8B" w:rsidRDefault="004E43C6">
      <w:pPr>
        <w:pStyle w:val="AZakapitzlist"/>
        <w:numPr>
          <w:ilvl w:val="0"/>
          <w:numId w:val="7"/>
        </w:numPr>
        <w:rPr>
          <w:rStyle w:val="Wyrnienie"/>
          <w:i w:val="0"/>
          <w:iCs w:val="0"/>
        </w:rPr>
      </w:pPr>
      <w:r w:rsidRPr="002176EF">
        <w:rPr>
          <w:rStyle w:val="Wyrnienie"/>
          <w:rFonts w:cs="Calibri"/>
          <w:i w:val="0"/>
          <w:iCs w:val="0"/>
          <w:color w:val="000000"/>
        </w:rPr>
        <w:t>nie udostępnia się danych jednostkowych z rejestru PESEL podmiotom publicznym posiadającym dostęp do rejestru PESEL za pomocą urządzeń teletransmisji danych</w:t>
      </w:r>
      <w:r w:rsidR="001B6B8B">
        <w:rPr>
          <w:rStyle w:val="Wyrnienie"/>
          <w:rFonts w:cs="Calibri"/>
          <w:i w:val="0"/>
          <w:iCs w:val="0"/>
          <w:color w:val="000000"/>
        </w:rPr>
        <w:t>,</w:t>
      </w:r>
    </w:p>
    <w:p w14:paraId="7139B0F6" w14:textId="5AF3A133" w:rsidR="004E43C6" w:rsidRPr="002176EF" w:rsidRDefault="004E43C6">
      <w:pPr>
        <w:pStyle w:val="AZakapitzlist"/>
        <w:numPr>
          <w:ilvl w:val="0"/>
          <w:numId w:val="7"/>
        </w:numPr>
      </w:pPr>
      <w:r w:rsidRPr="002176EF">
        <w:rPr>
          <w:rStyle w:val="Wyrnienie"/>
          <w:rFonts w:cs="Calibri"/>
          <w:i w:val="0"/>
          <w:iCs w:val="0"/>
          <w:color w:val="000000"/>
        </w:rPr>
        <w:t>aktualna lista podmiotów jest publikowana i aktualizowana przez Ministra Cyfryzacji na stronie:</w:t>
      </w:r>
    </w:p>
    <w:p w14:paraId="4D46B19F" w14:textId="38132CD2" w:rsidR="004E43C6" w:rsidRPr="001B6B8B" w:rsidRDefault="00000000" w:rsidP="00482715">
      <w:pPr>
        <w:pStyle w:val="AZakapitzlist"/>
        <w:numPr>
          <w:ilvl w:val="0"/>
          <w:numId w:val="0"/>
        </w:numPr>
        <w:ind w:left="360"/>
        <w:rPr>
          <w:rStyle w:val="Hipercze"/>
        </w:rPr>
      </w:pPr>
      <w:hyperlink r:id="rId9" w:history="1">
        <w:r w:rsidR="00482715" w:rsidRPr="00517FE3">
          <w:rPr>
            <w:rStyle w:val="Hipercze"/>
          </w:rPr>
          <w:t>https://www.gov.pl/web/cyfryzacja/udostepnianie-danych-z-rejestru-pesel-uwaga-zmiany</w:t>
        </w:r>
      </w:hyperlink>
    </w:p>
    <w:sectPr w:rsidR="004E43C6" w:rsidRPr="001B6B8B" w:rsidSect="002176EF">
      <w:pgSz w:w="11906" w:h="16838"/>
      <w:pgMar w:top="567" w:right="707" w:bottom="568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349" w14:textId="77777777" w:rsidR="00CC7FE4" w:rsidRDefault="00CC7FE4" w:rsidP="00D25E34">
      <w:pPr>
        <w:spacing w:after="0" w:line="240" w:lineRule="auto"/>
      </w:pPr>
      <w:r>
        <w:separator/>
      </w:r>
    </w:p>
  </w:endnote>
  <w:endnote w:type="continuationSeparator" w:id="0">
    <w:p w14:paraId="0A6280BA" w14:textId="77777777" w:rsidR="00CC7FE4" w:rsidRDefault="00CC7FE4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4734" w14:textId="77777777" w:rsidR="00CC7FE4" w:rsidRDefault="00CC7FE4" w:rsidP="00D25E34">
      <w:pPr>
        <w:spacing w:after="0" w:line="240" w:lineRule="auto"/>
      </w:pPr>
      <w:r>
        <w:separator/>
      </w:r>
    </w:p>
  </w:footnote>
  <w:footnote w:type="continuationSeparator" w:id="0">
    <w:p w14:paraId="6DAE489B" w14:textId="77777777" w:rsidR="00CC7FE4" w:rsidRDefault="00CC7FE4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72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8A57EB"/>
    <w:multiLevelType w:val="multilevel"/>
    <w:tmpl w:val="291805B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D641A5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0C7757B"/>
    <w:multiLevelType w:val="hybridMultilevel"/>
    <w:tmpl w:val="D1509300"/>
    <w:lvl w:ilvl="0" w:tplc="5C86D690">
      <w:start w:val="1"/>
      <w:numFmt w:val="decimal"/>
      <w:pStyle w:val="Azakapitznumerami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84CFA"/>
    <w:multiLevelType w:val="hybridMultilevel"/>
    <w:tmpl w:val="FB2EE0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8542C"/>
    <w:multiLevelType w:val="hybridMultilevel"/>
    <w:tmpl w:val="C73247B6"/>
    <w:lvl w:ilvl="0" w:tplc="A2FC21D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62687"/>
    <w:multiLevelType w:val="hybridMultilevel"/>
    <w:tmpl w:val="64DCE01E"/>
    <w:lvl w:ilvl="0" w:tplc="A2FC21D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080B"/>
    <w:multiLevelType w:val="multilevel"/>
    <w:tmpl w:val="263085F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C8A516D"/>
    <w:multiLevelType w:val="hybridMultilevel"/>
    <w:tmpl w:val="855A61B4"/>
    <w:lvl w:ilvl="0" w:tplc="7E54DE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4101"/>
    <w:multiLevelType w:val="multilevel"/>
    <w:tmpl w:val="40F0A1CE"/>
    <w:lvl w:ilvl="0">
      <w:start w:val="1"/>
      <w:numFmt w:val="decimal"/>
      <w:pStyle w:val="AZakapitz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1543060184">
    <w:abstractNumId w:val="9"/>
  </w:num>
  <w:num w:numId="2" w16cid:durableId="299112149">
    <w:abstractNumId w:val="3"/>
  </w:num>
  <w:num w:numId="3" w16cid:durableId="1533881828">
    <w:abstractNumId w:val="5"/>
  </w:num>
  <w:num w:numId="4" w16cid:durableId="1301887549">
    <w:abstractNumId w:val="4"/>
  </w:num>
  <w:num w:numId="5" w16cid:durableId="1214654465">
    <w:abstractNumId w:val="0"/>
  </w:num>
  <w:num w:numId="6" w16cid:durableId="1596674278">
    <w:abstractNumId w:val="2"/>
  </w:num>
  <w:num w:numId="7" w16cid:durableId="1704791572">
    <w:abstractNumId w:val="6"/>
  </w:num>
  <w:num w:numId="8" w16cid:durableId="2025284989">
    <w:abstractNumId w:val="8"/>
  </w:num>
  <w:num w:numId="9" w16cid:durableId="14514350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565010">
    <w:abstractNumId w:val="3"/>
    <w:lvlOverride w:ilvl="0">
      <w:startOverride w:val="8"/>
    </w:lvlOverride>
  </w:num>
  <w:num w:numId="11" w16cid:durableId="380984403">
    <w:abstractNumId w:val="1"/>
  </w:num>
  <w:num w:numId="12" w16cid:durableId="76699969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10E87"/>
    <w:rsid w:val="00042933"/>
    <w:rsid w:val="000C37A6"/>
    <w:rsid w:val="000C7D67"/>
    <w:rsid w:val="00113068"/>
    <w:rsid w:val="0011628F"/>
    <w:rsid w:val="00131350"/>
    <w:rsid w:val="00145D10"/>
    <w:rsid w:val="00171008"/>
    <w:rsid w:val="001711C1"/>
    <w:rsid w:val="001746EB"/>
    <w:rsid w:val="001914B6"/>
    <w:rsid w:val="001B1154"/>
    <w:rsid w:val="001B6B8B"/>
    <w:rsid w:val="001C542E"/>
    <w:rsid w:val="002176EF"/>
    <w:rsid w:val="002502EE"/>
    <w:rsid w:val="0027105A"/>
    <w:rsid w:val="002B18FF"/>
    <w:rsid w:val="002B4E93"/>
    <w:rsid w:val="002D15D8"/>
    <w:rsid w:val="002E4C16"/>
    <w:rsid w:val="002F5DEE"/>
    <w:rsid w:val="00304B71"/>
    <w:rsid w:val="00310A9F"/>
    <w:rsid w:val="0031203F"/>
    <w:rsid w:val="00381027"/>
    <w:rsid w:val="0038317E"/>
    <w:rsid w:val="00396B66"/>
    <w:rsid w:val="003A6151"/>
    <w:rsid w:val="003B0571"/>
    <w:rsid w:val="003C2D3B"/>
    <w:rsid w:val="003C58F1"/>
    <w:rsid w:val="004108DE"/>
    <w:rsid w:val="00482715"/>
    <w:rsid w:val="00485D42"/>
    <w:rsid w:val="00490CFE"/>
    <w:rsid w:val="004D4CE5"/>
    <w:rsid w:val="004E43C6"/>
    <w:rsid w:val="005158CF"/>
    <w:rsid w:val="00527EAB"/>
    <w:rsid w:val="00540ADF"/>
    <w:rsid w:val="00543DD3"/>
    <w:rsid w:val="005453A1"/>
    <w:rsid w:val="00550CC3"/>
    <w:rsid w:val="00554A94"/>
    <w:rsid w:val="00610463"/>
    <w:rsid w:val="00623A33"/>
    <w:rsid w:val="00663B64"/>
    <w:rsid w:val="006A2952"/>
    <w:rsid w:val="006C53D1"/>
    <w:rsid w:val="006D1002"/>
    <w:rsid w:val="006E1089"/>
    <w:rsid w:val="006F0B6F"/>
    <w:rsid w:val="007804CB"/>
    <w:rsid w:val="00786CEB"/>
    <w:rsid w:val="007B397F"/>
    <w:rsid w:val="0084624D"/>
    <w:rsid w:val="008643F1"/>
    <w:rsid w:val="00895B2B"/>
    <w:rsid w:val="009217BA"/>
    <w:rsid w:val="00946FC8"/>
    <w:rsid w:val="0095029B"/>
    <w:rsid w:val="009615A4"/>
    <w:rsid w:val="009A4CD2"/>
    <w:rsid w:val="009D6FA9"/>
    <w:rsid w:val="00A1170B"/>
    <w:rsid w:val="00A12DC4"/>
    <w:rsid w:val="00A33863"/>
    <w:rsid w:val="00A61DAB"/>
    <w:rsid w:val="00AD463C"/>
    <w:rsid w:val="00B43E53"/>
    <w:rsid w:val="00B96CC6"/>
    <w:rsid w:val="00BA4D43"/>
    <w:rsid w:val="00BB190B"/>
    <w:rsid w:val="00BE1FD6"/>
    <w:rsid w:val="00BE22B0"/>
    <w:rsid w:val="00BF1EBF"/>
    <w:rsid w:val="00C150D7"/>
    <w:rsid w:val="00C6082B"/>
    <w:rsid w:val="00C6446B"/>
    <w:rsid w:val="00C72333"/>
    <w:rsid w:val="00C9527F"/>
    <w:rsid w:val="00CB1CAB"/>
    <w:rsid w:val="00CC7FE4"/>
    <w:rsid w:val="00CE2C88"/>
    <w:rsid w:val="00CF532A"/>
    <w:rsid w:val="00D24880"/>
    <w:rsid w:val="00D25E34"/>
    <w:rsid w:val="00D35FB4"/>
    <w:rsid w:val="00D610D8"/>
    <w:rsid w:val="00D950D6"/>
    <w:rsid w:val="00DA2B73"/>
    <w:rsid w:val="00DB5045"/>
    <w:rsid w:val="00DE0F25"/>
    <w:rsid w:val="00E02033"/>
    <w:rsid w:val="00E2059E"/>
    <w:rsid w:val="00E21C06"/>
    <w:rsid w:val="00E91AB4"/>
    <w:rsid w:val="00E951C2"/>
    <w:rsid w:val="00E97D9D"/>
    <w:rsid w:val="00EE43F6"/>
    <w:rsid w:val="00F00BA9"/>
    <w:rsid w:val="00F24AA7"/>
    <w:rsid w:val="00F6106C"/>
    <w:rsid w:val="00F658FC"/>
    <w:rsid w:val="00F734D4"/>
    <w:rsid w:val="00F965E0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D8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1C542E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2D15D8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qFormat/>
    <w:rsid w:val="00F24AA7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1C542E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2D15D8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2176EF"/>
    <w:pPr>
      <w:numPr>
        <w:numId w:val="1"/>
      </w:numPr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B6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8835&amp;file=wniosek+o+udost%25u0119pnienie+danych+jednostkowych+z+rejestru+mieszka%25u0144c%3Fw+oraz+rejestru+PESE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udostepnianie-danych-z-rejestru-pesel-uwaga-zmi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5</cp:revision>
  <dcterms:created xsi:type="dcterms:W3CDTF">2023-02-28T13:42:00Z</dcterms:created>
  <dcterms:modified xsi:type="dcterms:W3CDTF">2023-02-28T13:50:00Z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