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9CD6" w14:textId="2FB26245" w:rsidR="00A1170B" w:rsidRPr="00B616BE" w:rsidRDefault="00A1170B" w:rsidP="00A1170B">
      <w:pPr>
        <w:widowControl w:val="0"/>
        <w:spacing w:before="120" w:after="0"/>
        <w:jc w:val="center"/>
        <w:rPr>
          <w:rFonts w:asciiTheme="minorHAnsi" w:hAnsiTheme="minorHAnsi" w:cstheme="minorHAnsi"/>
          <w:sz w:val="24"/>
          <w:szCs w:val="24"/>
        </w:rPr>
      </w:pPr>
      <w:r w:rsidRPr="00B616BE">
        <w:rPr>
          <w:rFonts w:asciiTheme="minorHAnsi" w:hAnsiTheme="minorHAnsi" w:cstheme="minorHAnsi"/>
          <w:sz w:val="24"/>
          <w:szCs w:val="24"/>
        </w:rPr>
        <w:t xml:space="preserve">SPRAWA </w:t>
      </w:r>
    </w:p>
    <w:p w14:paraId="1DEF94E3" w14:textId="5CEE23DC" w:rsidR="00A1170B" w:rsidRDefault="00A1170B" w:rsidP="00A1170B">
      <w:pPr>
        <w:pStyle w:val="Nagwek1"/>
      </w:pPr>
      <w:r w:rsidRPr="008C770E">
        <w:t>Wpis do ewidencji obiektów świadczących usługi hotelarskie niebędąc</w:t>
      </w:r>
      <w:r w:rsidR="00E439FD">
        <w:t xml:space="preserve">ych </w:t>
      </w:r>
      <w:r w:rsidRPr="008C770E">
        <w:t>obiekt</w:t>
      </w:r>
      <w:r w:rsidR="00E439FD">
        <w:t xml:space="preserve">ami </w:t>
      </w:r>
      <w:r w:rsidRPr="008C770E">
        <w:t>hotelarskim</w:t>
      </w:r>
      <w:r w:rsidR="00E439FD">
        <w:t>i oraz pól biwakowych</w:t>
      </w:r>
      <w:r w:rsidRPr="008C770E">
        <w:t xml:space="preserve"> na terenie gminy Polkowice</w:t>
      </w:r>
    </w:p>
    <w:p w14:paraId="0B2F8576" w14:textId="6832A2B3" w:rsidR="00A1170B" w:rsidRPr="00B616BE" w:rsidRDefault="00A1170B" w:rsidP="00A1170B">
      <w:pPr>
        <w:jc w:val="center"/>
      </w:pPr>
      <w:r>
        <w:t>___________________________________</w:t>
      </w:r>
      <w:r w:rsidR="00B8698C">
        <w:t>________________________</w:t>
      </w:r>
      <w:r>
        <w:t>___________________________________</w:t>
      </w:r>
    </w:p>
    <w:p w14:paraId="391FADCD" w14:textId="77777777" w:rsidR="00A1170B" w:rsidRPr="008C770E" w:rsidRDefault="00A1170B" w:rsidP="0031203F">
      <w:pPr>
        <w:pStyle w:val="Nagwek2"/>
      </w:pPr>
      <w:r w:rsidRPr="008C770E">
        <w:t>I. Podstawa prawna:</w:t>
      </w:r>
    </w:p>
    <w:p w14:paraId="0F5B5237" w14:textId="2FC64EFA" w:rsidR="00A1170B" w:rsidRPr="008C770E" w:rsidRDefault="00A1170B" w:rsidP="00B8710B">
      <w:pPr>
        <w:pStyle w:val="AZakapitzlist"/>
      </w:pPr>
      <w:r w:rsidRPr="008C770E">
        <w:t xml:space="preserve">ustawa z dnia 29 sierpnia 1997 r. o usługach hotelarskich oraz usługach pilotów wycieczek </w:t>
      </w:r>
      <w:r w:rsidR="00B8698C">
        <w:br/>
      </w:r>
      <w:r w:rsidRPr="008C770E">
        <w:t>i przewodników turystycznych</w:t>
      </w:r>
      <w:r w:rsidR="00B8698C">
        <w:t>,</w:t>
      </w:r>
      <w:r w:rsidRPr="008C770E">
        <w:t xml:space="preserve"> </w:t>
      </w:r>
    </w:p>
    <w:p w14:paraId="3D6DB90F" w14:textId="2A61BF2E" w:rsidR="00A1170B" w:rsidRPr="00D87241" w:rsidRDefault="00A1170B" w:rsidP="00B8710B">
      <w:pPr>
        <w:pStyle w:val="AZakapitzlist"/>
        <w:rPr>
          <w:b/>
          <w:bCs/>
        </w:rPr>
      </w:pPr>
      <w:r w:rsidRPr="008C770E">
        <w:t>rozporządzenie Ministra Gospodarki i Pracy z dnia 19 sierpnia 2004 r. w sprawie obiektów hotelarskich i innych obiektów, w których są świadczone usługi hotelarskie</w:t>
      </w:r>
      <w:r w:rsidR="00B8698C">
        <w:t>,</w:t>
      </w:r>
      <w:r w:rsidRPr="008C770E">
        <w:t xml:space="preserve"> </w:t>
      </w:r>
    </w:p>
    <w:p w14:paraId="02F002AF" w14:textId="2973E33A" w:rsidR="00D87241" w:rsidRPr="00A14C24" w:rsidRDefault="00D87241" w:rsidP="00B8710B">
      <w:pPr>
        <w:pStyle w:val="AZakapitzlist"/>
        <w:rPr>
          <w:b/>
          <w:bCs/>
          <w:color w:val="000000" w:themeColor="text1"/>
        </w:rPr>
      </w:pPr>
      <w:r w:rsidRPr="00A14C24">
        <w:rPr>
          <w:color w:val="000000" w:themeColor="text1"/>
        </w:rPr>
        <w:t xml:space="preserve">rozporządzenie Ministra Sportu i Turystyki z dnia 29 grudnia 2010 r. w sprawie opłat związanych </w:t>
      </w:r>
      <w:r w:rsidRPr="00A14C24">
        <w:rPr>
          <w:color w:val="000000" w:themeColor="text1"/>
        </w:rPr>
        <w:br/>
        <w:t>z zaszeregowaniem obiektu hotelarskiego,</w:t>
      </w:r>
    </w:p>
    <w:p w14:paraId="35614D51" w14:textId="03140CC5" w:rsidR="00A1170B" w:rsidRPr="008C770E" w:rsidRDefault="00A1170B" w:rsidP="00B8710B">
      <w:pPr>
        <w:pStyle w:val="AZakapitzlist"/>
        <w:rPr>
          <w:rFonts w:eastAsia="Times New Roman"/>
          <w:i/>
          <w:iCs/>
        </w:rPr>
      </w:pPr>
      <w:r w:rsidRPr="008C770E">
        <w:rPr>
          <w:rFonts w:eastAsia="Times New Roman"/>
          <w:color w:val="000000"/>
        </w:rPr>
        <w:t>u</w:t>
      </w:r>
      <w:r w:rsidRPr="008C770E">
        <w:t>stawa z dnia 14 czerwca 1960 r. Kodeks postępowania administracyjneg</w:t>
      </w:r>
      <w:r w:rsidR="00B8698C">
        <w:t>o,</w:t>
      </w:r>
    </w:p>
    <w:p w14:paraId="70DFE03C" w14:textId="538CFB86" w:rsidR="00A1170B" w:rsidRPr="008C770E" w:rsidRDefault="00A1170B" w:rsidP="00B8710B">
      <w:pPr>
        <w:pStyle w:val="AZakapitzlist"/>
        <w:rPr>
          <w:rFonts w:eastAsia="Times New Roman"/>
          <w:i/>
          <w:iCs/>
        </w:rPr>
      </w:pPr>
      <w:r w:rsidRPr="008C770E">
        <w:t>ustawa z dnia 16 listopada 2006 r. o opłacie skarbowej</w:t>
      </w:r>
      <w:r w:rsidR="00B8698C">
        <w:t>.</w:t>
      </w:r>
    </w:p>
    <w:p w14:paraId="57AA4665" w14:textId="77777777" w:rsidR="00A1170B" w:rsidRPr="008C770E" w:rsidRDefault="00A1170B" w:rsidP="0031203F">
      <w:pPr>
        <w:pStyle w:val="Nagwek2"/>
      </w:pPr>
      <w:r w:rsidRPr="008C770E">
        <w:t xml:space="preserve">II. </w:t>
      </w:r>
      <w:r w:rsidRPr="00B616BE">
        <w:t>Wymagane</w:t>
      </w:r>
      <w:r w:rsidRPr="008C770E">
        <w:t xml:space="preserve"> dokumenty:</w:t>
      </w:r>
    </w:p>
    <w:p w14:paraId="3A5B8069" w14:textId="127C3DCD" w:rsidR="00A1170B" w:rsidRPr="008E0968" w:rsidRDefault="0033201E">
      <w:pPr>
        <w:pStyle w:val="Azakapitznumerami"/>
        <w:rPr>
          <w:bCs/>
        </w:rPr>
      </w:pPr>
      <w:hyperlink r:id="rId8" w:history="1">
        <w:r w:rsidR="00B8698C" w:rsidRPr="0033201E">
          <w:rPr>
            <w:rStyle w:val="Hipercze"/>
          </w:rPr>
          <w:t>w</w:t>
        </w:r>
        <w:r w:rsidR="00A1170B" w:rsidRPr="0033201E">
          <w:rPr>
            <w:rStyle w:val="Hipercze"/>
          </w:rPr>
          <w:t>niosek o wpis do ewidencji</w:t>
        </w:r>
      </w:hyperlink>
      <w:r w:rsidR="00166E37" w:rsidRPr="00166E37">
        <w:t xml:space="preserve">, </w:t>
      </w:r>
    </w:p>
    <w:p w14:paraId="56F6A801" w14:textId="6529A2AB" w:rsidR="00623FBB" w:rsidRDefault="00166E37" w:rsidP="00623FBB">
      <w:pPr>
        <w:pStyle w:val="Azakapitznumerami"/>
        <w:rPr>
          <w:bCs/>
        </w:rPr>
      </w:pPr>
      <w:r>
        <w:t>w</w:t>
      </w:r>
      <w:r w:rsidR="008E0968">
        <w:t xml:space="preserve"> przypadku </w:t>
      </w:r>
      <w:r>
        <w:t>żądania</w:t>
      </w:r>
      <w:r w:rsidR="008E0968">
        <w:t xml:space="preserve"> wydania zaświadczenia</w:t>
      </w:r>
      <w:r w:rsidR="001856B3">
        <w:t xml:space="preserve"> o wpisie do ewidencji</w:t>
      </w:r>
      <w:r w:rsidR="001523DC">
        <w:t>,</w:t>
      </w:r>
      <w:r>
        <w:t xml:space="preserve"> </w:t>
      </w:r>
      <w:r w:rsidR="001856B3">
        <w:t>dodatkowo:</w:t>
      </w:r>
    </w:p>
    <w:p w14:paraId="32741082" w14:textId="77777777" w:rsidR="00623FBB" w:rsidRDefault="001856B3" w:rsidP="00623FBB">
      <w:pPr>
        <w:pStyle w:val="Azakapitznumerami"/>
        <w:numPr>
          <w:ilvl w:val="0"/>
          <w:numId w:val="7"/>
        </w:numPr>
        <w:rPr>
          <w:bCs/>
        </w:rPr>
      </w:pPr>
      <w:r>
        <w:t>wniosek o wydanie zaświadczenia o wpisie</w:t>
      </w:r>
      <w:r w:rsidR="001523DC">
        <w:t>,</w:t>
      </w:r>
    </w:p>
    <w:p w14:paraId="46768B96" w14:textId="21B18625" w:rsidR="001856B3" w:rsidRPr="00623FBB" w:rsidRDefault="001856B3" w:rsidP="00623FBB">
      <w:pPr>
        <w:pStyle w:val="Azakapitznumerami"/>
        <w:numPr>
          <w:ilvl w:val="0"/>
          <w:numId w:val="7"/>
        </w:numPr>
        <w:rPr>
          <w:bCs/>
        </w:rPr>
      </w:pPr>
      <w:r>
        <w:t xml:space="preserve">dowód wniesienia opłaty skarbowej za wydanie </w:t>
      </w:r>
      <w:r w:rsidR="001523DC">
        <w:t>zaświadczenia.</w:t>
      </w:r>
    </w:p>
    <w:p w14:paraId="635A0F50" w14:textId="58A51BDC" w:rsidR="00A1170B" w:rsidRPr="008C770E" w:rsidRDefault="00A1170B" w:rsidP="0031203F">
      <w:pPr>
        <w:pStyle w:val="Nagwek2"/>
      </w:pPr>
      <w:r w:rsidRPr="008C770E">
        <w:t>III. Opłaty:</w:t>
      </w:r>
    </w:p>
    <w:p w14:paraId="110A61BB" w14:textId="0781D6FA" w:rsidR="00A1170B" w:rsidRPr="00A14C24" w:rsidRDefault="00B8698C" w:rsidP="00E2280F">
      <w:pPr>
        <w:pStyle w:val="Azakapitznumerami"/>
        <w:numPr>
          <w:ilvl w:val="0"/>
          <w:numId w:val="6"/>
        </w:numPr>
        <w:spacing w:after="0"/>
        <w:ind w:hanging="357"/>
        <w:rPr>
          <w:color w:val="000000" w:themeColor="text1"/>
        </w:rPr>
      </w:pPr>
      <w:r w:rsidRPr="00A14C24">
        <w:rPr>
          <w:color w:val="000000" w:themeColor="text1"/>
        </w:rPr>
        <w:t>d</w:t>
      </w:r>
      <w:r w:rsidR="00A1170B" w:rsidRPr="00A14C24">
        <w:rPr>
          <w:color w:val="000000" w:themeColor="text1"/>
        </w:rPr>
        <w:t xml:space="preserve">okonanie wpisu </w:t>
      </w:r>
      <w:r w:rsidR="00D53B74" w:rsidRPr="00A14C24">
        <w:rPr>
          <w:color w:val="000000" w:themeColor="text1"/>
        </w:rPr>
        <w:t xml:space="preserve">do ewidencji obiektów świadczących usługi hotelarskie niebędących obiektami hotelarskimi </w:t>
      </w:r>
      <w:r w:rsidR="00A1170B" w:rsidRPr="00A14C24">
        <w:rPr>
          <w:color w:val="000000" w:themeColor="text1"/>
        </w:rPr>
        <w:t>nie podlega opłacie</w:t>
      </w:r>
      <w:r w:rsidRPr="00A14C24">
        <w:rPr>
          <w:color w:val="000000" w:themeColor="text1"/>
        </w:rPr>
        <w:t>,</w:t>
      </w:r>
    </w:p>
    <w:p w14:paraId="66413583" w14:textId="243D0B8F" w:rsidR="00D87241" w:rsidRPr="00A14C24" w:rsidRDefault="00D53B74" w:rsidP="001D4EA9">
      <w:pPr>
        <w:pStyle w:val="Azakapitznumerami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A14C24">
        <w:rPr>
          <w:color w:val="000000" w:themeColor="text1"/>
        </w:rPr>
        <w:t>opła</w:t>
      </w:r>
      <w:r w:rsidR="001D4EA9" w:rsidRPr="00A14C24">
        <w:rPr>
          <w:color w:val="000000" w:themeColor="text1"/>
        </w:rPr>
        <w:t>cie</w:t>
      </w:r>
      <w:r w:rsidRPr="00A14C24">
        <w:rPr>
          <w:color w:val="000000" w:themeColor="text1"/>
        </w:rPr>
        <w:t xml:space="preserve"> </w:t>
      </w:r>
      <w:r w:rsidR="001D4EA9" w:rsidRPr="00A14C24">
        <w:rPr>
          <w:color w:val="000000" w:themeColor="text1"/>
        </w:rPr>
        <w:t xml:space="preserve">w wysokości 100,00 zł podlega </w:t>
      </w:r>
      <w:r w:rsidRPr="00A14C24">
        <w:rPr>
          <w:color w:val="000000" w:themeColor="text1"/>
        </w:rPr>
        <w:t>dokonanie oceny spełniania przez obiekt hotelarski wymagań niezbędnych do zaszeregowania  obiektu do rodzaju pole biwakowe,</w:t>
      </w:r>
    </w:p>
    <w:p w14:paraId="3017F0A4" w14:textId="7A82586F" w:rsidR="00D53B74" w:rsidRPr="00A14C24" w:rsidRDefault="00D53B74" w:rsidP="00E2280F">
      <w:pPr>
        <w:pStyle w:val="Azakapitznumerami"/>
        <w:numPr>
          <w:ilvl w:val="0"/>
          <w:numId w:val="6"/>
        </w:numPr>
        <w:spacing w:after="0"/>
        <w:ind w:hanging="357"/>
        <w:rPr>
          <w:color w:val="000000" w:themeColor="text1"/>
        </w:rPr>
      </w:pPr>
      <w:r w:rsidRPr="00A14C24">
        <w:rPr>
          <w:color w:val="000000" w:themeColor="text1"/>
        </w:rPr>
        <w:t>opłacie skarbowej za wydanie decyzji w wysokości 10,00 zł podlega zaszeregowanie obiektu hotelarskiego do rodzaju pole biwakowe</w:t>
      </w:r>
      <w:r w:rsidR="00A14C24" w:rsidRPr="00A14C24">
        <w:rPr>
          <w:color w:val="000000" w:themeColor="text1"/>
        </w:rPr>
        <w:t>,</w:t>
      </w:r>
    </w:p>
    <w:p w14:paraId="03E32D14" w14:textId="095270A9" w:rsidR="001856B3" w:rsidRPr="008C770E" w:rsidRDefault="00B8698C" w:rsidP="00E2280F">
      <w:pPr>
        <w:pStyle w:val="Azakapitznumerami"/>
        <w:spacing w:after="0"/>
        <w:ind w:hanging="357"/>
      </w:pPr>
      <w:r>
        <w:t>opłacie skarbowej w wysokości 17,00 zł podlega wydanie z</w:t>
      </w:r>
      <w:r w:rsidR="00A1170B" w:rsidRPr="008C770E">
        <w:t>aświadczenia potwierdzającego dokonanie wpisu do ewidencji</w:t>
      </w:r>
      <w:r w:rsidR="001856B3">
        <w:t>,</w:t>
      </w:r>
    </w:p>
    <w:p w14:paraId="166E9A3C" w14:textId="1092677E" w:rsidR="00B8698C" w:rsidRPr="00946FC8" w:rsidRDefault="00B8698C" w:rsidP="00E2280F">
      <w:pPr>
        <w:pStyle w:val="Azakapitznumerami"/>
        <w:spacing w:after="0"/>
        <w:ind w:hanging="357"/>
      </w:pPr>
      <w:bookmarkStart w:id="0" w:name="_Hlk119091228"/>
      <w:r>
        <w:t>n</w:t>
      </w:r>
      <w:r w:rsidRPr="00946FC8">
        <w:t>ależ</w:t>
      </w:r>
      <w:r>
        <w:t xml:space="preserve">ną </w:t>
      </w:r>
      <w:r w:rsidRPr="00946FC8">
        <w:t>opłat</w:t>
      </w:r>
      <w:r>
        <w:t xml:space="preserve">ę </w:t>
      </w:r>
      <w:r w:rsidRPr="00946FC8">
        <w:t xml:space="preserve">można </w:t>
      </w:r>
      <w:r>
        <w:t xml:space="preserve">wnieść </w:t>
      </w:r>
      <w:r w:rsidRPr="00946FC8">
        <w:t>na rachunek bankowy 02 1020 3017 0000 2702 0166 6270</w:t>
      </w:r>
      <w:r>
        <w:t xml:space="preserve"> lub </w:t>
      </w:r>
      <w:r w:rsidRPr="00946FC8">
        <w:t>uiścić</w:t>
      </w:r>
      <w:r>
        <w:t xml:space="preserve"> </w:t>
      </w:r>
      <w:r>
        <w:br/>
      </w:r>
      <w:r w:rsidRPr="00946FC8">
        <w:t>w kasie Urzędu Gminy Polkowice</w:t>
      </w:r>
      <w:r>
        <w:t>, która jest czynna:</w:t>
      </w:r>
    </w:p>
    <w:bookmarkEnd w:id="0"/>
    <w:p w14:paraId="2C1FB196" w14:textId="77777777" w:rsidR="00B8698C" w:rsidRPr="00946FC8" w:rsidRDefault="00B8698C" w:rsidP="00E2280F">
      <w:pPr>
        <w:pStyle w:val="Azakapitznumerami"/>
        <w:numPr>
          <w:ilvl w:val="0"/>
          <w:numId w:val="3"/>
        </w:numPr>
        <w:spacing w:after="0"/>
        <w:ind w:hanging="357"/>
      </w:pPr>
      <w:r w:rsidRPr="00946FC8">
        <w:t>poniedziałek, środa, czwartek od godziny 7:45 do godziny 15:00,</w:t>
      </w:r>
    </w:p>
    <w:p w14:paraId="56EC8D66" w14:textId="77777777" w:rsidR="00B8698C" w:rsidRPr="00946FC8" w:rsidRDefault="00B8698C" w:rsidP="00E2280F">
      <w:pPr>
        <w:pStyle w:val="Azakapitznumerami"/>
        <w:numPr>
          <w:ilvl w:val="0"/>
          <w:numId w:val="3"/>
        </w:numPr>
        <w:spacing w:after="0"/>
        <w:ind w:hanging="357"/>
      </w:pPr>
      <w:r w:rsidRPr="00946FC8">
        <w:t>wtorek od godziny 7:45 do godziny 16:30,</w:t>
      </w:r>
    </w:p>
    <w:p w14:paraId="4BF96DF3" w14:textId="77777777" w:rsidR="00B8698C" w:rsidRPr="00946FC8" w:rsidRDefault="00B8698C" w:rsidP="00E2280F">
      <w:pPr>
        <w:pStyle w:val="Azakapitznumerami"/>
        <w:numPr>
          <w:ilvl w:val="0"/>
          <w:numId w:val="3"/>
        </w:numPr>
        <w:spacing w:after="0"/>
        <w:ind w:hanging="357"/>
      </w:pPr>
      <w:r w:rsidRPr="00946FC8">
        <w:t>piątek od godziny 7:45 do godziny 13:30.</w:t>
      </w:r>
    </w:p>
    <w:p w14:paraId="447C6FA1" w14:textId="77777777" w:rsidR="00A1170B" w:rsidRPr="008C770E" w:rsidRDefault="00A1170B" w:rsidP="0031203F">
      <w:pPr>
        <w:pStyle w:val="Nagwek2"/>
      </w:pPr>
      <w:r w:rsidRPr="008C770E">
        <w:t>IV. Termin załatwienia sprawy:</w:t>
      </w:r>
    </w:p>
    <w:p w14:paraId="44026CB9" w14:textId="35D80A99" w:rsidR="00762D5C" w:rsidRDefault="00762D5C" w:rsidP="00B8710B">
      <w:pPr>
        <w:pStyle w:val="AZakapitzlist"/>
        <w:numPr>
          <w:ilvl w:val="0"/>
          <w:numId w:val="8"/>
        </w:numPr>
      </w:pPr>
      <w:r>
        <w:t>do</w:t>
      </w:r>
      <w:r w:rsidR="00A1170B" w:rsidRPr="008C770E">
        <w:t xml:space="preserve">konanie wpisu – </w:t>
      </w:r>
      <w:r>
        <w:t>bez zbędnej zwłoki,</w:t>
      </w:r>
    </w:p>
    <w:p w14:paraId="74D3562A" w14:textId="5E566A37" w:rsidR="00A1170B" w:rsidRPr="008C770E" w:rsidRDefault="00762D5C">
      <w:pPr>
        <w:pStyle w:val="AZakapitzlist"/>
      </w:pPr>
      <w:r>
        <w:t>z</w:t>
      </w:r>
      <w:r w:rsidR="00A1170B" w:rsidRPr="008C770E">
        <w:t xml:space="preserve">ałatwienie sprawy wymagającej postępowania wyjaśniającego powinno nastąpić nie później niż </w:t>
      </w:r>
      <w:r>
        <w:br/>
      </w:r>
      <w:r w:rsidR="00A1170B" w:rsidRPr="008C770E">
        <w:t>w ciągu miesiąca, a sprawy</w:t>
      </w:r>
      <w:r w:rsidR="00A1170B">
        <w:t xml:space="preserve"> </w:t>
      </w:r>
      <w:r w:rsidR="00A1170B" w:rsidRPr="008C770E">
        <w:t>szczególnie skomplikowanej nie później niż w ciągu dwóch miesięcy</w:t>
      </w:r>
      <w:r>
        <w:t>,</w:t>
      </w:r>
      <w:r w:rsidR="00A1170B" w:rsidRPr="008C770E">
        <w:t xml:space="preserve"> </w:t>
      </w:r>
    </w:p>
    <w:p w14:paraId="6A9D91ED" w14:textId="1C5437E0" w:rsidR="00A1170B" w:rsidRPr="008C770E" w:rsidRDefault="00762D5C">
      <w:pPr>
        <w:pStyle w:val="AZakapitzlist"/>
      </w:pPr>
      <w:r>
        <w:t>i</w:t>
      </w:r>
      <w:r w:rsidR="00A1170B" w:rsidRPr="008C770E">
        <w:t xml:space="preserve">nformacja o rejestracji obiektu wraz z numerem karty ewidencyjnej wysyłana jest na adres </w:t>
      </w:r>
      <w:r>
        <w:br/>
      </w:r>
      <w:r w:rsidR="00A1170B" w:rsidRPr="008C770E">
        <w:t>do doręczeń podany we wniosku.</w:t>
      </w:r>
    </w:p>
    <w:p w14:paraId="39F416ED" w14:textId="77777777" w:rsidR="00A1170B" w:rsidRPr="008C770E" w:rsidRDefault="00A1170B" w:rsidP="0031203F">
      <w:pPr>
        <w:pStyle w:val="Nagwek2"/>
      </w:pPr>
      <w:r w:rsidRPr="008C770E">
        <w:t>V. Jednostka odpowiedzialna:</w:t>
      </w:r>
    </w:p>
    <w:p w14:paraId="6420562A" w14:textId="629CD9C6" w:rsidR="00A1170B" w:rsidRPr="008C770E" w:rsidRDefault="00A1170B" w:rsidP="00762D5C">
      <w:pPr>
        <w:pStyle w:val="Azakapitbezlisty"/>
      </w:pPr>
      <w:r w:rsidRPr="008C770E">
        <w:t>Wydział Spraw Obywatelskich, ul. Rynek 1, pokój 21, tel. 76</w:t>
      </w:r>
      <w:r w:rsidR="00762D5C">
        <w:t> </w:t>
      </w:r>
      <w:r w:rsidRPr="008C770E">
        <w:t>72</w:t>
      </w:r>
      <w:r w:rsidR="00380952">
        <w:t xml:space="preserve"> </w:t>
      </w:r>
      <w:r w:rsidRPr="008C770E">
        <w:t>49</w:t>
      </w:r>
      <w:r w:rsidR="00380952">
        <w:t xml:space="preserve"> </w:t>
      </w:r>
      <w:r w:rsidRPr="008C770E">
        <w:t>717.</w:t>
      </w:r>
    </w:p>
    <w:p w14:paraId="479681D1" w14:textId="77777777" w:rsidR="00A1170B" w:rsidRPr="008C770E" w:rsidRDefault="00A1170B" w:rsidP="00762D5C">
      <w:pPr>
        <w:pStyle w:val="Nagwek2"/>
      </w:pPr>
      <w:r w:rsidRPr="008C770E">
        <w:t xml:space="preserve">VI. Tryb </w:t>
      </w:r>
      <w:r w:rsidRPr="00762D5C">
        <w:t>odwoławczy</w:t>
      </w:r>
      <w:r w:rsidRPr="008C770E">
        <w:t>:</w:t>
      </w:r>
    </w:p>
    <w:p w14:paraId="73FF12BA" w14:textId="4DAFF606" w:rsidR="00A1170B" w:rsidRPr="008C770E" w:rsidRDefault="00762D5C" w:rsidP="00762D5C">
      <w:pPr>
        <w:pStyle w:val="Azakapitbezlisty"/>
      </w:pPr>
      <w:r>
        <w:t>nie jest przewidziany.</w:t>
      </w:r>
    </w:p>
    <w:p w14:paraId="1B7E67AD" w14:textId="77777777" w:rsidR="00A1170B" w:rsidRPr="008C770E" w:rsidRDefault="00A1170B" w:rsidP="00762D5C">
      <w:pPr>
        <w:pStyle w:val="Nagwek2"/>
      </w:pPr>
      <w:r w:rsidRPr="008C770E">
        <w:lastRenderedPageBreak/>
        <w:t>VII. Inne informacje:</w:t>
      </w:r>
    </w:p>
    <w:p w14:paraId="5B5C264C" w14:textId="7B73B28B" w:rsidR="00A1170B" w:rsidRPr="00762D5C" w:rsidRDefault="00787C2D">
      <w:pPr>
        <w:pStyle w:val="Azakapitznumerami"/>
        <w:numPr>
          <w:ilvl w:val="0"/>
          <w:numId w:val="4"/>
        </w:numPr>
        <w:rPr>
          <w:b/>
        </w:rPr>
      </w:pPr>
      <w:r>
        <w:t>p</w:t>
      </w:r>
      <w:r w:rsidR="00A1170B" w:rsidRPr="008C770E">
        <w:t>rzedsiębiorca lub rolnik, przed rozpoczęciem świadczenia turystom usług hotelarskich w obiekcie innym niż obiekt hotelarski,</w:t>
      </w:r>
      <w:r w:rsidR="00A1170B" w:rsidRPr="00762D5C">
        <w:rPr>
          <w:b/>
        </w:rPr>
        <w:t> </w:t>
      </w:r>
      <w:r w:rsidR="00A1170B" w:rsidRPr="008C770E">
        <w:t>zobowiązany jest zgłosić obiekt niekategoryzowany, położony na terenie gminy Polkowice do ewidencji prowadzonej przez Burmistrza Polkowic</w:t>
      </w:r>
      <w:r>
        <w:t>,</w:t>
      </w:r>
    </w:p>
    <w:p w14:paraId="79361244" w14:textId="1A47936F" w:rsidR="00A1170B" w:rsidRPr="008C770E" w:rsidRDefault="00787C2D">
      <w:pPr>
        <w:pStyle w:val="Azakapitznumerami"/>
        <w:rPr>
          <w:b/>
        </w:rPr>
      </w:pPr>
      <w:r>
        <w:rPr>
          <w:b/>
        </w:rPr>
        <w:t>o</w:t>
      </w:r>
      <w:r w:rsidR="00A1170B" w:rsidRPr="008C770E">
        <w:rPr>
          <w:b/>
        </w:rPr>
        <w:t>biektami niekategoryzowanymi</w:t>
      </w:r>
      <w:r w:rsidR="00A1170B" w:rsidRPr="008C770E">
        <w:t xml:space="preserve"> są wszystkie obiekty świadczące usługi hotelarskie, np.: pokoje gościnne, apartamenty, wille, hostele, ośrodki wypoczynkowe, itp. (niebędące hotelami, motelami, pensjonatami, kempingami, domami wycieczkowymi)</w:t>
      </w:r>
      <w:r w:rsidR="00411BC2">
        <w:t>,</w:t>
      </w:r>
    </w:p>
    <w:p w14:paraId="2A67A0AF" w14:textId="1951962E" w:rsidR="00A1170B" w:rsidRPr="00A578F1" w:rsidRDefault="00411BC2">
      <w:pPr>
        <w:pStyle w:val="Azakapitznumerami"/>
        <w:rPr>
          <w:b/>
        </w:rPr>
      </w:pPr>
      <w:r>
        <w:t>z</w:t>
      </w:r>
      <w:r w:rsidR="00A1170B" w:rsidRPr="008C770E">
        <w:t>a inne obiekty, w których mogą być świadczone usługi hotelarskie, uważa się także wynajmowane przez rolników pokoje i miejsca na ustawianie namiotów w prowadzonych przez nich gospodarstwach rolnych, jeżeli obiekty te spełniają minimalne wymagania co do wyposażenia</w:t>
      </w:r>
      <w:r w:rsidR="00787C2D">
        <w:t>,</w:t>
      </w:r>
    </w:p>
    <w:p w14:paraId="69FB1296" w14:textId="35C10B48" w:rsidR="00A578F1" w:rsidRPr="00A14C24" w:rsidRDefault="00A578F1">
      <w:pPr>
        <w:pStyle w:val="Azakapitznumerami"/>
        <w:rPr>
          <w:b/>
          <w:color w:val="000000" w:themeColor="text1"/>
        </w:rPr>
      </w:pPr>
      <w:r w:rsidRPr="00A14C24">
        <w:rPr>
          <w:rFonts w:ascii="Calibri" w:hAnsi="Calibri" w:cs="Times New Roman"/>
          <w:color w:val="000000" w:themeColor="text1"/>
        </w:rPr>
        <w:t>przedsiębiorc</w:t>
      </w:r>
      <w:r w:rsidR="00DA65EF" w:rsidRPr="00A14C24">
        <w:rPr>
          <w:rFonts w:ascii="Calibri" w:hAnsi="Calibri" w:cs="Times New Roman"/>
          <w:color w:val="000000" w:themeColor="text1"/>
        </w:rPr>
        <w:t>a</w:t>
      </w:r>
      <w:r w:rsidRPr="00A14C24">
        <w:rPr>
          <w:rFonts w:ascii="Calibri" w:hAnsi="Calibri" w:cs="Times New Roman"/>
          <w:color w:val="000000" w:themeColor="text1"/>
        </w:rPr>
        <w:t>, którzy zamierza świadczyć usługi hotelarskie w obiekcie, jakim jest pole biwakowe</w:t>
      </w:r>
      <w:r w:rsidR="00A14C24">
        <w:rPr>
          <w:rFonts w:ascii="Calibri" w:hAnsi="Calibri" w:cs="Times New Roman"/>
          <w:color w:val="000000" w:themeColor="text1"/>
        </w:rPr>
        <w:t>,</w:t>
      </w:r>
      <w:r w:rsidRPr="00A14C24">
        <w:rPr>
          <w:rFonts w:ascii="Calibri" w:hAnsi="Calibri" w:cs="Times New Roman"/>
          <w:color w:val="000000" w:themeColor="text1"/>
        </w:rPr>
        <w:t xml:space="preserve"> przed przystąpieniem do ich świadczenia </w:t>
      </w:r>
      <w:r w:rsidR="00DA65EF" w:rsidRPr="00A14C24">
        <w:rPr>
          <w:rFonts w:ascii="Calibri" w:hAnsi="Calibri" w:cs="Times New Roman"/>
          <w:color w:val="000000" w:themeColor="text1"/>
        </w:rPr>
        <w:t xml:space="preserve">zobowiązany jest </w:t>
      </w:r>
      <w:r w:rsidRPr="00A14C24">
        <w:rPr>
          <w:rFonts w:ascii="Calibri" w:hAnsi="Calibri" w:cs="Times New Roman"/>
          <w:color w:val="000000" w:themeColor="text1"/>
        </w:rPr>
        <w:t>uzyskać zaszeregowanie tego obiektu i zgłosić ob</w:t>
      </w:r>
      <w:r w:rsidRPr="00A14C24">
        <w:rPr>
          <w:rFonts w:ascii="Calibri" w:hAnsi="Calibri" w:cs="Times New Roman"/>
          <w:color w:val="000000" w:themeColor="text1"/>
        </w:rPr>
        <w:t>i</w:t>
      </w:r>
      <w:r w:rsidRPr="00A14C24">
        <w:rPr>
          <w:rFonts w:ascii="Calibri" w:hAnsi="Calibri" w:cs="Times New Roman"/>
          <w:color w:val="000000" w:themeColor="text1"/>
        </w:rPr>
        <w:t>ekt do ewidencji pól biwakowych</w:t>
      </w:r>
      <w:r w:rsidR="00A14C24" w:rsidRPr="00A14C24">
        <w:rPr>
          <w:rFonts w:ascii="Calibri" w:hAnsi="Calibri" w:cs="Times New Roman"/>
          <w:color w:val="000000" w:themeColor="text1"/>
        </w:rPr>
        <w:t xml:space="preserve">, </w:t>
      </w:r>
    </w:p>
    <w:p w14:paraId="1486ED9A" w14:textId="473BC57B" w:rsidR="001D4EA9" w:rsidRPr="00A14C24" w:rsidRDefault="00EC0D55" w:rsidP="00E14E42">
      <w:pPr>
        <w:pStyle w:val="Azakapitznumerami"/>
        <w:rPr>
          <w:b/>
          <w:color w:val="000000" w:themeColor="text1"/>
        </w:rPr>
      </w:pPr>
      <w:r w:rsidRPr="00A14C24">
        <w:rPr>
          <w:color w:val="000000" w:themeColor="text1"/>
        </w:rPr>
        <w:t xml:space="preserve">organ dokonuje zaszeregowania pola biwakowego do odpowiedniej kategorii, stosownie do załącznika </w:t>
      </w:r>
      <w:r w:rsidRPr="00A14C24">
        <w:rPr>
          <w:rFonts w:eastAsia="Times New Roman"/>
          <w:color w:val="000000" w:themeColor="text1"/>
        </w:rPr>
        <w:t>nr 3 do Rozporządzenia Ministra Gospodarki i Pracy z dnia 19.08.2004 r. w sprawie obiektów hotelarskich i innych obiektów, w których świadczone są usługi hotelarskie</w:t>
      </w:r>
      <w:r w:rsidR="00DA65EF" w:rsidRPr="00A14C24">
        <w:rPr>
          <w:rFonts w:eastAsia="Times New Roman"/>
          <w:color w:val="000000" w:themeColor="text1"/>
        </w:rPr>
        <w:t>,</w:t>
      </w:r>
      <w:r w:rsidR="00E14E42" w:rsidRPr="00A14C24">
        <w:rPr>
          <w:rFonts w:eastAsia="Times New Roman"/>
          <w:color w:val="000000" w:themeColor="text1"/>
        </w:rPr>
        <w:t xml:space="preserve"> </w:t>
      </w:r>
      <w:r w:rsidR="00D53B74" w:rsidRPr="00A14C24">
        <w:rPr>
          <w:bCs/>
          <w:color w:val="000000" w:themeColor="text1"/>
        </w:rPr>
        <w:t>d</w:t>
      </w:r>
      <w:r w:rsidR="00D53B74" w:rsidRPr="00A14C24">
        <w:rPr>
          <w:color w:val="000000" w:themeColor="text1"/>
        </w:rPr>
        <w:t>ecyzja w sprawie zaszeregowania obiektu hotelarskiego do rodzaju pole biwakowe stanowi podstawę do wpisania obiektu do ewidencji pól biwakowych,</w:t>
      </w:r>
    </w:p>
    <w:p w14:paraId="648C154A" w14:textId="2A3FC19A" w:rsidR="00A1170B" w:rsidRPr="00D53B74" w:rsidRDefault="00411BC2" w:rsidP="00D53B74">
      <w:pPr>
        <w:pStyle w:val="Azakapitznumerami"/>
        <w:rPr>
          <w:b/>
        </w:rPr>
      </w:pPr>
      <w:r w:rsidRPr="00D53B74">
        <w:rPr>
          <w:b/>
        </w:rPr>
        <w:t>u</w:t>
      </w:r>
      <w:r w:rsidR="00A1170B" w:rsidRPr="00D53B74">
        <w:rPr>
          <w:b/>
        </w:rPr>
        <w:t>sługi hotelarskie</w:t>
      </w:r>
      <w:r w:rsidR="00A1170B" w:rsidRPr="008C770E">
        <w:t> to krótkotrwałe, ogólnie dostępne wynajmowanie domów, mieszkań, pokoi, miejsc noclegowych, a także miejsc na ustawienie namiotów lub przyczep samochodowych oraz świadczenie, w obrębie obiektu, usług z tym związanych</w:t>
      </w:r>
      <w:r w:rsidR="00787C2D">
        <w:t>,</w:t>
      </w:r>
    </w:p>
    <w:p w14:paraId="6D19AF2B" w14:textId="31961EAF" w:rsidR="00A1170B" w:rsidRPr="008C770E" w:rsidRDefault="00411BC2">
      <w:pPr>
        <w:pStyle w:val="Azakapitznumerami"/>
        <w:rPr>
          <w:b/>
        </w:rPr>
      </w:pPr>
      <w:r>
        <w:rPr>
          <w:b/>
        </w:rPr>
        <w:t>t</w:t>
      </w:r>
      <w:r w:rsidR="00A1170B" w:rsidRPr="008C770E">
        <w:rPr>
          <w:b/>
        </w:rPr>
        <w:t>urysta</w:t>
      </w:r>
      <w:r w:rsidR="00A1170B" w:rsidRPr="008C770E">
        <w:t xml:space="preserve"> to osoba, która podróżuje do innej miejscowości poza swoim stałym miejscem pobytu </w:t>
      </w:r>
      <w:r w:rsidR="0083102F">
        <w:br/>
      </w:r>
      <w:r w:rsidR="00A1170B" w:rsidRPr="008C770E">
        <w:t xml:space="preserve">na okres nieprzekraczający 12 miesięcy, dla której celem podróży nie jest podjęcie stałej pracy </w:t>
      </w:r>
      <w:r w:rsidR="0083102F">
        <w:br/>
      </w:r>
      <w:r w:rsidR="00A1170B" w:rsidRPr="008C770E">
        <w:t>w odwiedzanej miejscowości i która korzysta z noclegu przynajmniej przez jedną noc</w:t>
      </w:r>
      <w:r w:rsidR="00BF47A2">
        <w:t>,</w:t>
      </w:r>
    </w:p>
    <w:p w14:paraId="0D61E50F" w14:textId="6DD38B4D" w:rsidR="00A1170B" w:rsidRPr="008C770E" w:rsidRDefault="00BF47A2">
      <w:pPr>
        <w:pStyle w:val="Azakapitznumerami"/>
        <w:rPr>
          <w:b/>
        </w:rPr>
      </w:pPr>
      <w:r>
        <w:t>z</w:t>
      </w:r>
      <w:r w:rsidR="00A1170B" w:rsidRPr="008C770E">
        <w:t xml:space="preserve">głaszany do ewidencji obiekt musi spełniać wymagania budowlane, przeciwpożarowe i sanitarne oraz minimalne wymagania dotyczące wyposażenia i świadczonych usług, które znajdują się w załączniku </w:t>
      </w:r>
      <w:r w:rsidR="0083102F">
        <w:br/>
      </w:r>
      <w:r w:rsidR="00A1170B" w:rsidRPr="008C770E">
        <w:t xml:space="preserve">nr 7 do rozporządzenia w sprawie obiektów hotelarskich i innych obiektów, w których </w:t>
      </w:r>
      <w:r w:rsidR="00A1170B">
        <w:t xml:space="preserve">są </w:t>
      </w:r>
      <w:r w:rsidR="00A1170B" w:rsidRPr="008C770E">
        <w:t>świadczone usługi hotelarskie</w:t>
      </w:r>
      <w:r w:rsidR="00AF6146">
        <w:t>,</w:t>
      </w:r>
    </w:p>
    <w:p w14:paraId="7F9D1B3B" w14:textId="2863FC7F" w:rsidR="00A1170B" w:rsidRPr="008C770E" w:rsidRDefault="00AF6146">
      <w:pPr>
        <w:pStyle w:val="Azakapitznumerami"/>
      </w:pPr>
      <w:r>
        <w:t>w</w:t>
      </w:r>
      <w:r w:rsidR="00A1170B" w:rsidRPr="008C770E">
        <w:t xml:space="preserve"> przeciwieństwie do obiektów hotelarskich, ewidencjonowanie obiektów świadczących usługi hotelarskie, niebędących obiektami hotelarskimi odbywa się na podstawie oświadczenia przedsiębiorcy, że zgłaszany obiekt spełnia wymogi budowlane, sanitarne i przeciwpożarowe, niezbędne do prowadzenia usług hotelarskich</w:t>
      </w:r>
      <w:r>
        <w:t>,</w:t>
      </w:r>
    </w:p>
    <w:p w14:paraId="467C11ED" w14:textId="77777777" w:rsidR="00AF6146" w:rsidRDefault="00AF6146">
      <w:pPr>
        <w:pStyle w:val="Azakapitznumerami"/>
      </w:pPr>
      <w:r>
        <w:t>p</w:t>
      </w:r>
      <w:r w:rsidR="00A1170B" w:rsidRPr="008C770E">
        <w:t>odmiot świadczący usługi hotelarskie w obiekcie zgłoszonym do ewidencji ma obowiązek informowania organu o:</w:t>
      </w:r>
    </w:p>
    <w:p w14:paraId="741A31A5" w14:textId="77777777" w:rsidR="00AF6146" w:rsidRDefault="00A1170B">
      <w:pPr>
        <w:pStyle w:val="Azakapitznumerami"/>
        <w:numPr>
          <w:ilvl w:val="0"/>
          <w:numId w:val="5"/>
        </w:numPr>
      </w:pPr>
      <w:r w:rsidRPr="008C770E">
        <w:t>zaprzestaniu świadczenia usług hotelarskich,</w:t>
      </w:r>
    </w:p>
    <w:p w14:paraId="0F1C491C" w14:textId="77777777" w:rsidR="00AF6146" w:rsidRDefault="00A1170B">
      <w:pPr>
        <w:pStyle w:val="Azakapitznumerami"/>
        <w:numPr>
          <w:ilvl w:val="0"/>
          <w:numId w:val="5"/>
        </w:numPr>
      </w:pPr>
      <w:r w:rsidRPr="008C770E">
        <w:t>uzyskaniu zaszeregowania do odpowiedniego rodzaju obiektu i nadaniu kategorii hotelarskiego,</w:t>
      </w:r>
    </w:p>
    <w:p w14:paraId="5BAE9282" w14:textId="77777777" w:rsidR="00AF6146" w:rsidRDefault="00A1170B">
      <w:pPr>
        <w:pStyle w:val="Azakapitznumerami"/>
        <w:numPr>
          <w:ilvl w:val="0"/>
          <w:numId w:val="5"/>
        </w:numPr>
      </w:pPr>
      <w:r w:rsidRPr="008C770E">
        <w:t>zmianie działalności sezonowej na stałą lub odwrotnie,</w:t>
      </w:r>
    </w:p>
    <w:p w14:paraId="1FD93642" w14:textId="77777777" w:rsidR="00AF6146" w:rsidRDefault="00A1170B">
      <w:pPr>
        <w:pStyle w:val="Azakapitznumerami"/>
        <w:numPr>
          <w:ilvl w:val="0"/>
          <w:numId w:val="5"/>
        </w:numPr>
      </w:pPr>
      <w:r w:rsidRPr="008C770E">
        <w:t>zmianie liczby miejsc noclegowych,</w:t>
      </w:r>
    </w:p>
    <w:p w14:paraId="078D6A04" w14:textId="6242D5D7" w:rsidR="00AD463C" w:rsidRDefault="00A1170B">
      <w:pPr>
        <w:pStyle w:val="Azakapitznumerami"/>
        <w:numPr>
          <w:ilvl w:val="0"/>
          <w:numId w:val="5"/>
        </w:numPr>
      </w:pPr>
      <w:r w:rsidRPr="00AD463C">
        <w:t>zmianie numeru telefonu, a także – o ile obiekt posiada - o zmianie nr faksu, adresu poczty elektronicznej oraz adresu strony internetowej</w:t>
      </w:r>
      <w:r w:rsidR="00AF6146">
        <w:t>.</w:t>
      </w:r>
    </w:p>
    <w:p w14:paraId="39127CD6" w14:textId="154BEE85" w:rsidR="00EC0D55" w:rsidRDefault="00EC0D55" w:rsidP="00EC0D55">
      <w:pPr>
        <w:pStyle w:val="Azakapitznumerami"/>
        <w:numPr>
          <w:ilvl w:val="0"/>
          <w:numId w:val="0"/>
        </w:numPr>
        <w:ind w:left="360" w:hanging="360"/>
      </w:pPr>
    </w:p>
    <w:p w14:paraId="1D0A1074" w14:textId="2625E518" w:rsidR="00EC0D55" w:rsidRDefault="00EC0D55" w:rsidP="00EC0D55">
      <w:pPr>
        <w:pStyle w:val="Azakapitznumerami"/>
        <w:numPr>
          <w:ilvl w:val="0"/>
          <w:numId w:val="0"/>
        </w:numPr>
        <w:ind w:left="360" w:hanging="360"/>
      </w:pPr>
    </w:p>
    <w:p w14:paraId="058815EE" w14:textId="50BE0528" w:rsidR="00D53B74" w:rsidRDefault="00D53B74" w:rsidP="00EC0D5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5728E27C" w14:textId="038BEE0A" w:rsidR="00A1170B" w:rsidRDefault="00A1170B" w:rsidP="00762D5C">
      <w:pPr>
        <w:pStyle w:val="Azakapitznumerami"/>
        <w:numPr>
          <w:ilvl w:val="0"/>
          <w:numId w:val="0"/>
        </w:numPr>
        <w:rPr>
          <w:rFonts w:ascii="Tahoma" w:hAnsi="Tahoma" w:cs="Tahoma"/>
          <w:b/>
          <w:color w:val="000080"/>
          <w:sz w:val="20"/>
          <w:szCs w:val="20"/>
        </w:rPr>
      </w:pPr>
    </w:p>
    <w:sectPr w:rsidR="00A1170B" w:rsidSect="00F6106C">
      <w:pgSz w:w="11906" w:h="16838"/>
      <w:pgMar w:top="709" w:right="707" w:bottom="568" w:left="85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893D" w14:textId="77777777" w:rsidR="00205C37" w:rsidRDefault="00205C37" w:rsidP="00D25E34">
      <w:pPr>
        <w:spacing w:after="0" w:line="240" w:lineRule="auto"/>
      </w:pPr>
      <w:r>
        <w:separator/>
      </w:r>
    </w:p>
  </w:endnote>
  <w:endnote w:type="continuationSeparator" w:id="0">
    <w:p w14:paraId="71BF56D2" w14:textId="77777777" w:rsidR="00205C37" w:rsidRDefault="00205C37" w:rsidP="00D2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7622" w14:textId="77777777" w:rsidR="00205C37" w:rsidRDefault="00205C37" w:rsidP="00D25E34">
      <w:pPr>
        <w:spacing w:after="0" w:line="240" w:lineRule="auto"/>
      </w:pPr>
      <w:r>
        <w:separator/>
      </w:r>
    </w:p>
  </w:footnote>
  <w:footnote w:type="continuationSeparator" w:id="0">
    <w:p w14:paraId="2E76EC48" w14:textId="77777777" w:rsidR="00205C37" w:rsidRDefault="00205C37" w:rsidP="00D2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59D"/>
    <w:multiLevelType w:val="hybridMultilevel"/>
    <w:tmpl w:val="EF0EA172"/>
    <w:lvl w:ilvl="0" w:tplc="AC20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754B"/>
    <w:multiLevelType w:val="hybridMultilevel"/>
    <w:tmpl w:val="EF58B3BC"/>
    <w:lvl w:ilvl="0" w:tplc="AC20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757B"/>
    <w:multiLevelType w:val="hybridMultilevel"/>
    <w:tmpl w:val="1158AC0C"/>
    <w:lvl w:ilvl="0" w:tplc="7CB00900">
      <w:start w:val="1"/>
      <w:numFmt w:val="decimal"/>
      <w:pStyle w:val="Azakapitznumerami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C4101"/>
    <w:multiLevelType w:val="multilevel"/>
    <w:tmpl w:val="F600059C"/>
    <w:lvl w:ilvl="0">
      <w:start w:val="1"/>
      <w:numFmt w:val="decimal"/>
      <w:pStyle w:val="AZakapitz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F264779"/>
    <w:multiLevelType w:val="hybridMultilevel"/>
    <w:tmpl w:val="3C6EA9C0"/>
    <w:lvl w:ilvl="0" w:tplc="AC20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60184">
    <w:abstractNumId w:val="3"/>
  </w:num>
  <w:num w:numId="2" w16cid:durableId="299112149">
    <w:abstractNumId w:val="2"/>
  </w:num>
  <w:num w:numId="3" w16cid:durableId="843786652">
    <w:abstractNumId w:val="1"/>
  </w:num>
  <w:num w:numId="4" w16cid:durableId="1135566702">
    <w:abstractNumId w:val="2"/>
    <w:lvlOverride w:ilvl="0">
      <w:startOverride w:val="1"/>
    </w:lvlOverride>
  </w:num>
  <w:num w:numId="5" w16cid:durableId="331564359">
    <w:abstractNumId w:val="4"/>
  </w:num>
  <w:num w:numId="6" w16cid:durableId="1824541227">
    <w:abstractNumId w:val="2"/>
    <w:lvlOverride w:ilvl="0">
      <w:startOverride w:val="1"/>
    </w:lvlOverride>
  </w:num>
  <w:num w:numId="7" w16cid:durableId="1115907322">
    <w:abstractNumId w:val="0"/>
  </w:num>
  <w:num w:numId="8" w16cid:durableId="1292247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E0"/>
    <w:rsid w:val="00010E87"/>
    <w:rsid w:val="00042933"/>
    <w:rsid w:val="000C37A6"/>
    <w:rsid w:val="000D403A"/>
    <w:rsid w:val="00131350"/>
    <w:rsid w:val="00145D10"/>
    <w:rsid w:val="001523DC"/>
    <w:rsid w:val="00166E37"/>
    <w:rsid w:val="00171008"/>
    <w:rsid w:val="001711C1"/>
    <w:rsid w:val="001746EB"/>
    <w:rsid w:val="001856B3"/>
    <w:rsid w:val="001914B6"/>
    <w:rsid w:val="001B0CD0"/>
    <w:rsid w:val="001C542E"/>
    <w:rsid w:val="001D4EA9"/>
    <w:rsid w:val="00205C37"/>
    <w:rsid w:val="002502EE"/>
    <w:rsid w:val="002B4E93"/>
    <w:rsid w:val="002D15D8"/>
    <w:rsid w:val="002F5DEE"/>
    <w:rsid w:val="00304B71"/>
    <w:rsid w:val="00310A9F"/>
    <w:rsid w:val="0031203F"/>
    <w:rsid w:val="0033201E"/>
    <w:rsid w:val="00380952"/>
    <w:rsid w:val="00381027"/>
    <w:rsid w:val="0038317E"/>
    <w:rsid w:val="00396B66"/>
    <w:rsid w:val="003A6151"/>
    <w:rsid w:val="003B0571"/>
    <w:rsid w:val="00411BC2"/>
    <w:rsid w:val="00485D42"/>
    <w:rsid w:val="004D4CE5"/>
    <w:rsid w:val="004E43C6"/>
    <w:rsid w:val="004F5CBE"/>
    <w:rsid w:val="005158CF"/>
    <w:rsid w:val="00543DD3"/>
    <w:rsid w:val="005453A1"/>
    <w:rsid w:val="00550CC3"/>
    <w:rsid w:val="005D554C"/>
    <w:rsid w:val="00623A33"/>
    <w:rsid w:val="00623FBB"/>
    <w:rsid w:val="00663B64"/>
    <w:rsid w:val="006A2952"/>
    <w:rsid w:val="006B41ED"/>
    <w:rsid w:val="006B61A4"/>
    <w:rsid w:val="006C53D1"/>
    <w:rsid w:val="006E77DA"/>
    <w:rsid w:val="006F0B6F"/>
    <w:rsid w:val="00756F6E"/>
    <w:rsid w:val="00762D5C"/>
    <w:rsid w:val="007804CB"/>
    <w:rsid w:val="00786CEB"/>
    <w:rsid w:val="00787C2D"/>
    <w:rsid w:val="0083102F"/>
    <w:rsid w:val="0084624D"/>
    <w:rsid w:val="008643F1"/>
    <w:rsid w:val="00895B2B"/>
    <w:rsid w:val="008E0968"/>
    <w:rsid w:val="009328FB"/>
    <w:rsid w:val="00946FC8"/>
    <w:rsid w:val="009615A4"/>
    <w:rsid w:val="009A4CD2"/>
    <w:rsid w:val="009D6FA9"/>
    <w:rsid w:val="00A1170B"/>
    <w:rsid w:val="00A14C24"/>
    <w:rsid w:val="00A2365E"/>
    <w:rsid w:val="00A25C4F"/>
    <w:rsid w:val="00A578F1"/>
    <w:rsid w:val="00AD463C"/>
    <w:rsid w:val="00AF6146"/>
    <w:rsid w:val="00B02BE6"/>
    <w:rsid w:val="00B8698C"/>
    <w:rsid w:val="00B8710B"/>
    <w:rsid w:val="00B96CC6"/>
    <w:rsid w:val="00BA4D43"/>
    <w:rsid w:val="00BE1FD6"/>
    <w:rsid w:val="00BE22B0"/>
    <w:rsid w:val="00BF1EBF"/>
    <w:rsid w:val="00BF47A2"/>
    <w:rsid w:val="00C6082B"/>
    <w:rsid w:val="00C6446B"/>
    <w:rsid w:val="00C72333"/>
    <w:rsid w:val="00C9527F"/>
    <w:rsid w:val="00CF67AF"/>
    <w:rsid w:val="00D16226"/>
    <w:rsid w:val="00D24880"/>
    <w:rsid w:val="00D25E34"/>
    <w:rsid w:val="00D30D68"/>
    <w:rsid w:val="00D35FB4"/>
    <w:rsid w:val="00D53B74"/>
    <w:rsid w:val="00D610D8"/>
    <w:rsid w:val="00D87241"/>
    <w:rsid w:val="00DA2B73"/>
    <w:rsid w:val="00DA65EF"/>
    <w:rsid w:val="00DB5045"/>
    <w:rsid w:val="00DE0F25"/>
    <w:rsid w:val="00DF5960"/>
    <w:rsid w:val="00E14E42"/>
    <w:rsid w:val="00E2280F"/>
    <w:rsid w:val="00E439FD"/>
    <w:rsid w:val="00E47190"/>
    <w:rsid w:val="00E91AB4"/>
    <w:rsid w:val="00E97D9D"/>
    <w:rsid w:val="00EC0D55"/>
    <w:rsid w:val="00EE43F6"/>
    <w:rsid w:val="00F00BA9"/>
    <w:rsid w:val="00F12E70"/>
    <w:rsid w:val="00F6106C"/>
    <w:rsid w:val="00F658FC"/>
    <w:rsid w:val="00F734D4"/>
    <w:rsid w:val="00F804D3"/>
    <w:rsid w:val="00F87AE9"/>
    <w:rsid w:val="00F965E0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8CDB"/>
  <w15:docId w15:val="{D6B36B3D-EA03-4097-B2E0-160DB86F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7A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qFormat/>
    <w:locked/>
    <w:rsid w:val="001C542E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6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locked/>
    <w:rsid w:val="00762D5C"/>
    <w:pPr>
      <w:keepNext/>
      <w:keepLines/>
      <w:spacing w:before="12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9D6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uiPriority w:val="99"/>
    <w:qFormat/>
    <w:rPr>
      <w:i/>
      <w:iCs/>
    </w:rPr>
  </w:style>
  <w:style w:type="character" w:customStyle="1" w:styleId="czeinternetowe">
    <w:name w:val="Łącze internetowe"/>
    <w:uiPriority w:val="99"/>
    <w:rsid w:val="001523DC"/>
    <w:rPr>
      <w:rFonts w:asciiTheme="minorHAnsi" w:hAnsiTheme="minorHAnsi"/>
      <w:b/>
      <w:color w:val="000080"/>
      <w:sz w:val="24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autoRedefine/>
    <w:qFormat/>
    <w:rsid w:val="00010E87"/>
    <w:pPr>
      <w:keepNext/>
      <w:spacing w:before="120" w:after="0"/>
    </w:pPr>
    <w:rPr>
      <w:rFonts w:asciiTheme="minorHAnsi" w:eastAsia="Microsoft YaHei" w:hAnsiTheme="minorHAnsi" w:cs="Arial"/>
      <w:b/>
      <w:sz w:val="24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qFormat/>
    <w:rsid w:val="00C72AA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325BE"/>
    <w:pPr>
      <w:ind w:left="720"/>
      <w:contextualSpacing/>
    </w:pPr>
  </w:style>
  <w:style w:type="paragraph" w:customStyle="1" w:styleId="Standard">
    <w:name w:val="Standard"/>
    <w:uiPriority w:val="99"/>
    <w:qFormat/>
    <w:rsid w:val="0066673A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numbering" w:customStyle="1" w:styleId="Numeracja123">
    <w:name w:val="Numeracja 123"/>
    <w:qFormat/>
  </w:style>
  <w:style w:type="character" w:customStyle="1" w:styleId="Nagwek1Znak">
    <w:name w:val="Nagłówek 1 Znak"/>
    <w:basedOn w:val="Domylnaczcionkaakapitu"/>
    <w:link w:val="Nagwek1"/>
    <w:rsid w:val="001C542E"/>
    <w:rPr>
      <w:rFonts w:asciiTheme="minorHAnsi" w:eastAsiaTheme="majorEastAsia" w:hAnsiTheme="minorHAnsi" w:cstheme="majorBidi"/>
      <w:b/>
      <w:color w:val="000000" w:themeColor="text1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rsid w:val="00762D5C"/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43C6"/>
    <w:rPr>
      <w:sz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9D6F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locked/>
    <w:rsid w:val="00A1170B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Zakapitzlist">
    <w:name w:val="AZ akapit z listą"/>
    <w:basedOn w:val="Akapitzlist"/>
    <w:qFormat/>
    <w:rsid w:val="00A1170B"/>
    <w:pPr>
      <w:numPr>
        <w:numId w:val="1"/>
      </w:numPr>
      <w:spacing w:after="120"/>
    </w:pPr>
    <w:rPr>
      <w:rFonts w:asciiTheme="minorHAnsi" w:hAnsiTheme="minorHAnsi" w:cstheme="minorHAnsi"/>
      <w:sz w:val="24"/>
      <w:szCs w:val="24"/>
    </w:rPr>
  </w:style>
  <w:style w:type="paragraph" w:customStyle="1" w:styleId="Azakapitbezlisty">
    <w:name w:val="Az akapit bez listy"/>
    <w:basedOn w:val="Normalny"/>
    <w:qFormat/>
    <w:rsid w:val="00A1170B"/>
    <w:pPr>
      <w:suppressAutoHyphens w:val="0"/>
      <w:spacing w:after="120"/>
    </w:pPr>
    <w:rPr>
      <w:rFonts w:asciiTheme="minorHAnsi" w:hAnsiTheme="minorHAnsi" w:cstheme="minorHAns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D1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E34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E34"/>
    <w:rPr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E34"/>
    <w:rPr>
      <w:vertAlign w:val="superscript"/>
    </w:rPr>
  </w:style>
  <w:style w:type="paragraph" w:customStyle="1" w:styleId="Azakapitznumerami">
    <w:name w:val="Az akapit z numerami"/>
    <w:basedOn w:val="AZakapitzlist"/>
    <w:qFormat/>
    <w:rsid w:val="00946FC8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6E77DA"/>
    <w:rPr>
      <w:color w:val="800080" w:themeColor="followedHyperlink"/>
      <w:u w:val="single"/>
    </w:rPr>
  </w:style>
  <w:style w:type="character" w:styleId="Hipercze">
    <w:name w:val="Hyperlink"/>
    <w:basedOn w:val="Domylnaczcionkaakapitu"/>
    <w:uiPriority w:val="99"/>
    <w:unhideWhenUsed/>
    <w:qFormat/>
    <w:rsid w:val="004F5CBE"/>
    <w:rPr>
      <w:rFonts w:ascii="Calibri" w:hAnsi="Calibri"/>
      <w:b/>
      <w:color w:val="0000FF" w:themeColor="hyperlink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lkowice.eu/e,pobierz,get.html?id=98834&amp;file=SO-11+wniosek+o+dokonanie+wpisu+do+ewidencji+obiekt%3Fw+%25u015Bwiadcz%25u0105cych+us%25u0142ugi+hotelarskie+nieb%25u0119d%25u0105cych+obiektami+hotelarskimi+oraz+p%3Fl+biwakowych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C078-D9DC-43DE-A821-B8FA5D1B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III-17-96</dc:creator>
  <dc:description/>
  <cp:lastModifiedBy>Agnieszka Ziółkowska-Szczupak</cp:lastModifiedBy>
  <cp:revision>4</cp:revision>
  <cp:lastPrinted>2023-02-23T14:37:00Z</cp:lastPrinted>
  <dcterms:created xsi:type="dcterms:W3CDTF">2023-02-23T14:36:00Z</dcterms:created>
  <dcterms:modified xsi:type="dcterms:W3CDTF">2023-02-23T14:38:00Z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